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commentRangeStart w:id="0"/>
      <w:r>
        <w:rPr>
          <w:b w:val="0"/>
          <w:i w:val="0"/>
        </w:rPr>
        <w:t>EXECUTIVE EMPLOYMENT CONTRACT</w:t>
      </w:r>
      <w:commentRangeEnd w:id="0"/>
      <w:r>
        <w:rPr>
          <w:rStyle w:val="CommentReference"/>
        </w:rPr>
        <w:commentReference w:id="0"/>
      </w:r>
    </w:p>
    <w:p>
      <w:r>
        <w:rPr>
          <w:b/>
          <w:i w:val="0"/>
        </w:rPr>
        <w:t>THIS CONTRACT</w:t>
      </w:r>
      <w:r>
        <w:rPr>
          <w:b w:val="0"/>
          <w:i w:val="0"/>
        </w:rPr>
        <w:t xml:space="preserve"> is made on </w:t>
      </w:r>
      <w:commentRangeStart w:id="1"/>
      <w:r>
        <w:rPr>
          <w:b w:val="0"/>
          <w:i w:val="0"/>
          <w:highlight w:val="yellow"/>
        </w:rPr>
        <w:t>[Contract Date]</w:t>
      </w:r>
      <w:commentRangeEnd w:id="1"/>
      <w:r>
        <w:rPr>
          <w:rStyle w:val="CommentReference"/>
        </w:rPr>
        <w:commentReference w:id="1"/>
      </w:r>
    </w:p>
    <w:p>
      <w:r>
        <w:rPr>
          <w:b/>
          <w:i w:val="0"/>
        </w:rPr>
        <w:t>BETWEEN</w:t>
      </w:r>
    </w:p>
    <w:p>
      <w:r>
        <w:rPr>
          <w:b w:val="0"/>
          <w:i w:val="0"/>
        </w:rPr>
        <w:t xml:space="preserve">1. </w:t>
      </w:r>
      <w:commentRangeStart w:id="2"/>
      <w:r>
        <w:rPr>
          <w:b/>
          <w:i w:val="0"/>
          <w:highlight w:val="yellow"/>
        </w:rPr>
        <w:t>[Company name]</w:t>
      </w:r>
      <w:commentRangeEnd w:id="2"/>
      <w:r>
        <w:rPr>
          <w:rStyle w:val="CommentReference"/>
        </w:rPr>
        <w:commentReference w:id="2"/>
      </w:r>
      <w:r>
        <w:rPr>
          <w:b w:val="0"/>
          <w:i w:val="0"/>
        </w:rPr>
        <w:t xml:space="preserve">, a company incorporated under the laws of the Federal Republic of Nigeria with RC No. </w:t>
      </w:r>
      <w:commentRangeStart w:id="3"/>
      <w:r>
        <w:rPr>
          <w:b w:val="0"/>
          <w:i w:val="0"/>
          <w:highlight w:val="yellow"/>
        </w:rPr>
        <w:t>[Company RC number]</w:t>
      </w:r>
      <w:commentRangeEnd w:id="3"/>
      <w:r>
        <w:rPr>
          <w:rStyle w:val="CommentReference"/>
        </w:rPr>
        <w:commentReference w:id="3"/>
      </w:r>
      <w:r>
        <w:rPr>
          <w:b w:val="0"/>
          <w:i w:val="0"/>
        </w:rPr>
        <w:t xml:space="preserve"> and its registered office at </w:t>
      </w:r>
      <w:commentRangeStart w:id="4"/>
      <w:r>
        <w:rPr>
          <w:b w:val="0"/>
          <w:i w:val="0"/>
          <w:highlight w:val="yellow"/>
        </w:rPr>
        <w:t>[Company address]</w:t>
      </w:r>
      <w:commentRangeEnd w:id="4"/>
      <w:r>
        <w:rPr>
          <w:rStyle w:val="CommentReference"/>
        </w:rPr>
        <w:commentReference w:id="4"/>
      </w:r>
      <w:r>
        <w:rPr>
          <w:b w:val="0"/>
          <w:i w:val="0"/>
        </w:rPr>
        <w:t xml:space="preserve"> (the "</w:t>
      </w:r>
      <w:r>
        <w:rPr>
          <w:b/>
          <w:i w:val="0"/>
        </w:rPr>
        <w:t>Company</w:t>
      </w:r>
      <w:r>
        <w:rPr>
          <w:b w:val="0"/>
          <w:i w:val="0"/>
        </w:rPr>
        <w:t>"); and</w:t>
      </w:r>
    </w:p>
    <w:p>
      <w:r>
        <w:rPr>
          <w:b w:val="0"/>
          <w:i w:val="0"/>
        </w:rPr>
        <w:t xml:space="preserve">2. </w:t>
      </w:r>
      <w:commentRangeStart w:id="5"/>
      <w:r>
        <w:rPr>
          <w:b/>
          <w:i w:val="0"/>
          <w:highlight w:val="yellow"/>
        </w:rPr>
        <w:t>[Executive name]</w:t>
      </w:r>
      <w:commentRangeEnd w:id="5"/>
      <w:r>
        <w:rPr>
          <w:rStyle w:val="CommentReference"/>
        </w:rPr>
        <w:commentReference w:id="5"/>
      </w:r>
      <w:r>
        <w:rPr>
          <w:b w:val="0"/>
          <w:i w:val="0"/>
        </w:rPr>
        <w:t xml:space="preserve"> of </w:t>
      </w:r>
      <w:commentRangeStart w:id="6"/>
      <w:r>
        <w:rPr>
          <w:b w:val="0"/>
          <w:i w:val="0"/>
          <w:highlight w:val="yellow"/>
        </w:rPr>
        <w:t>[Executive address]</w:t>
      </w:r>
      <w:commentRangeEnd w:id="6"/>
      <w:r>
        <w:rPr>
          <w:rStyle w:val="CommentReference"/>
        </w:rPr>
        <w:commentReference w:id="6"/>
      </w:r>
      <w:r>
        <w:rPr>
          <w:b w:val="0"/>
          <w:i w:val="0"/>
        </w:rPr>
        <w:t xml:space="preserve"> (the "</w:t>
      </w:r>
      <w:r>
        <w:rPr>
          <w:b/>
          <w:i w:val="0"/>
        </w:rPr>
        <w:t>Executive</w:t>
      </w:r>
      <w:r>
        <w:rPr>
          <w:b w:val="0"/>
          <w:i w:val="0"/>
        </w:rPr>
        <w:t>").</w:t>
      </w:r>
    </w:p>
    <w:p>
      <w:pPr>
        <w:pStyle w:val="Heading2"/>
      </w:pPr>
      <w:r>
        <w:rPr>
          <w:b w:val="0"/>
          <w:i w:val="0"/>
        </w:rPr>
        <w:t>1. INTERPRETATION</w:t>
      </w:r>
    </w:p>
    <w:p>
      <w:r>
        <w:rPr>
          <w:b w:val="0"/>
          <w:i w:val="0"/>
        </w:rPr>
        <w:t>1.1 In this Contract:</w:t>
      </w:r>
    </w:p>
    <w:p>
      <w:r>
        <w:rPr>
          <w:b w:val="0"/>
          <w:i w:val="0"/>
        </w:rPr>
        <w:t>"</w:t>
      </w:r>
      <w:r>
        <w:rPr>
          <w:b/>
          <w:i w:val="0"/>
        </w:rPr>
        <w:t>Board</w:t>
      </w:r>
      <w:r>
        <w:rPr>
          <w:b w:val="0"/>
          <w:i w:val="0"/>
        </w:rPr>
        <w:t>" means the board of directors of the Company.</w:t>
      </w:r>
    </w:p>
    <w:p>
      <w:r>
        <w:rPr>
          <w:b w:val="0"/>
          <w:i w:val="0"/>
        </w:rPr>
        <w:t>"</w:t>
      </w:r>
      <w:r>
        <w:rPr>
          <w:b/>
          <w:i w:val="0"/>
        </w:rPr>
        <w:t>Commencement Date</w:t>
      </w:r>
      <w:r>
        <w:rPr>
          <w:b w:val="0"/>
          <w:i w:val="0"/>
        </w:rPr>
        <w:t xml:space="preserve">" means </w:t>
      </w:r>
      <w:commentRangeStart w:id="7"/>
      <w:r>
        <w:rPr>
          <w:b w:val="0"/>
          <w:i w:val="0"/>
          <w:highlight w:val="yellow"/>
        </w:rPr>
        <w:t>[Commencement Date]</w:t>
      </w:r>
      <w:commentRangeEnd w:id="7"/>
      <w:r>
        <w:rPr>
          <w:rStyle w:val="CommentReference"/>
        </w:rPr>
        <w:commentReference w:id="7"/>
      </w:r>
      <w:r>
        <w:rPr>
          <w:b w:val="0"/>
          <w:i w:val="0"/>
        </w:rPr>
        <w:t>.</w:t>
      </w:r>
    </w:p>
    <w:p>
      <w:r>
        <w:rPr>
          <w:b w:val="0"/>
          <w:i w:val="0"/>
        </w:rPr>
        <w:t>"</w:t>
      </w:r>
      <w:r>
        <w:rPr>
          <w:b/>
          <w:i w:val="0"/>
        </w:rPr>
        <w:t>Confidential Information</w:t>
      </w:r>
      <w:r>
        <w:rPr>
          <w:b w:val="0"/>
          <w:i w:val="0"/>
        </w:rPr>
        <w:t>" means all information of the Company or any Group Company that is not in the public domain, including trade secrets, business plans, financial information, customer and supplier data, pricing, know-how, source code, and Personal Data of employees, customers and third parties.</w:t>
      </w:r>
    </w:p>
    <w:p>
      <w:r>
        <w:rPr>
          <w:b w:val="0"/>
          <w:i w:val="0"/>
        </w:rPr>
        <w:t>"</w:t>
      </w:r>
      <w:r>
        <w:rPr>
          <w:b/>
          <w:i w:val="0"/>
        </w:rPr>
        <w:t>Group Company</w:t>
      </w:r>
      <w:r>
        <w:rPr>
          <w:b w:val="0"/>
          <w:i w:val="0"/>
        </w:rPr>
        <w:t>" means the Company, its holding company and every subsidiary of either, "holding company" and "subsidiary" having the meanings given in the Companies and Allied Matters Act 2020.</w:t>
      </w:r>
    </w:p>
    <w:p>
      <w:r>
        <w:rPr>
          <w:b w:val="0"/>
          <w:i w:val="0"/>
        </w:rPr>
        <w:t>"</w:t>
      </w:r>
      <w:r>
        <w:rPr>
          <w:b/>
          <w:i w:val="0"/>
        </w:rPr>
        <w:t>Personal Data</w:t>
      </w:r>
      <w:r>
        <w:rPr>
          <w:b w:val="0"/>
          <w:i w:val="0"/>
        </w:rPr>
        <w:t>" has the meaning given in the Nigeria Data Protection Act 2023.</w:t>
      </w:r>
    </w:p>
    <w:p>
      <w:r>
        <w:rPr>
          <w:b w:val="0"/>
          <w:i w:val="0"/>
        </w:rPr>
        <w:t>"</w:t>
      </w:r>
      <w:r>
        <w:rPr>
          <w:b/>
          <w:i w:val="0"/>
        </w:rPr>
        <w:t>Restricted Period</w:t>
      </w:r>
      <w:r>
        <w:rPr>
          <w:b w:val="0"/>
          <w:i w:val="0"/>
        </w:rPr>
        <w:t xml:space="preserve">" means the period of </w:t>
      </w:r>
      <w:commentRangeStart w:id="8"/>
      <w:r>
        <w:rPr>
          <w:b w:val="0"/>
          <w:i w:val="0"/>
          <w:highlight w:val="yellow"/>
        </w:rPr>
        <w:t>[Restricted Period (months)]</w:t>
      </w:r>
      <w:commentRangeEnd w:id="8"/>
      <w:r>
        <w:rPr>
          <w:rStyle w:val="CommentReference"/>
        </w:rPr>
        <w:commentReference w:id="8"/>
      </w:r>
      <w:r>
        <w:rPr>
          <w:b w:val="0"/>
          <w:i w:val="0"/>
        </w:rPr>
        <w:t xml:space="preserve"> months after the Termination Date, reduced by any period of Garden Leave.</w:t>
      </w:r>
    </w:p>
    <w:p>
      <w:r>
        <w:rPr>
          <w:b w:val="0"/>
          <w:i w:val="0"/>
        </w:rPr>
        <w:t>"</w:t>
      </w:r>
      <w:r>
        <w:rPr>
          <w:b/>
          <w:i w:val="0"/>
        </w:rPr>
        <w:t>Termination Date</w:t>
      </w:r>
      <w:r>
        <w:rPr>
          <w:b w:val="0"/>
          <w:i w:val="0"/>
        </w:rPr>
        <w:t>" means the date on which the Executive's employment ends, howsoever caused.</w:t>
      </w:r>
    </w:p>
    <w:p>
      <w:r>
        <w:rPr>
          <w:b w:val="0"/>
          <w:i w:val="0"/>
        </w:rPr>
        <w:t>1.2 References to a statute include that statute as amended, re-enacted or replaced. Headings do not affect interpretation.</w:t>
      </w:r>
    </w:p>
    <w:p>
      <w:pPr>
        <w:pStyle w:val="Heading2"/>
      </w:pPr>
      <w:r>
        <w:rPr>
          <w:b w:val="0"/>
          <w:i w:val="0"/>
        </w:rPr>
        <w:t>2. STATUS OF THE EXECUTIVE</w:t>
      </w:r>
    </w:p>
    <w:p>
      <w:r>
        <w:rPr>
          <w:b w:val="0"/>
          <w:i w:val="0"/>
        </w:rPr>
        <w:t>2.1 The Executive is engaged in a purely managerial and executive capacity. The Parties acknowledge that, by reason of section 91(1) of the Labour Act (Cap. L1, Laws of the Federation of Nigeria 2004), which excludes from the definition of "worker" persons exercising administrative, executive, technical or professional functions, the Labour Act does not govern this employment. The terms of this employment are accordingly those set out in this Contract, the general law of contract, the Constitution of the Federal Republic of Nigeria 1999 (as amended), and the applicable statutes referred to in this Contract.</w:t>
      </w:r>
    </w:p>
    <w:p>
      <w:r>
        <w:rPr>
          <w:b w:val="0"/>
          <w:i w:val="0"/>
        </w:rPr>
        <w:t>2.2 The Executive confirms that the Executive is not bound by any restrictive covenant, notice period or other obligation to a former employer or third party that would prevent or restrict performance of this Contract, and shall indemnify the Company against any loss arising from a breach of this confirmation.</w:t>
      </w:r>
    </w:p>
    <w:p>
      <w:r>
        <w:rPr>
          <w:b w:val="0"/>
          <w:i w:val="0"/>
        </w:rPr>
        <w:t>2.3 Where the Executive is not a Nigerian citizen, this Contract is conditional on the Executive holding, and the Company obtaining, all permits required under the Immigration Act 2015 (including expatriate quota approval and a Combined Expatriate Residence Permit and Aliens Card), and the Company shall bear the cost of obtaining them.</w:t>
      </w:r>
    </w:p>
    <w:p>
      <w:pPr>
        <w:pStyle w:val="Heading2"/>
      </w:pPr>
      <w:r>
        <w:rPr>
          <w:b w:val="0"/>
          <w:i w:val="0"/>
        </w:rPr>
        <w:t>3. APPOINTMENT AND TERM</w:t>
      </w:r>
    </w:p>
    <w:p>
      <w:r>
        <w:rPr>
          <w:b w:val="0"/>
          <w:i w:val="0"/>
        </w:rPr>
        <w:t xml:space="preserve">3.1 The Company appoints the Executive as </w:t>
      </w:r>
      <w:commentRangeStart w:id="9"/>
      <w:r>
        <w:rPr>
          <w:b w:val="0"/>
          <w:i w:val="0"/>
          <w:highlight w:val="yellow"/>
        </w:rPr>
        <w:t>[Job title]</w:t>
      </w:r>
      <w:commentRangeEnd w:id="9"/>
      <w:r>
        <w:rPr>
          <w:rStyle w:val="CommentReference"/>
        </w:rPr>
        <w:commentReference w:id="9"/>
      </w:r>
      <w:r>
        <w:rPr>
          <w:b w:val="0"/>
          <w:i w:val="0"/>
        </w:rPr>
        <w:t xml:space="preserve">, reporting to </w:t>
      </w:r>
      <w:commentRangeStart w:id="10"/>
      <w:r>
        <w:rPr>
          <w:b w:val="0"/>
          <w:i w:val="0"/>
          <w:highlight w:val="yellow"/>
        </w:rPr>
        <w:t>[Reporting line]</w:t>
      </w:r>
      <w:commentRangeEnd w:id="10"/>
      <w:r>
        <w:rPr>
          <w:rStyle w:val="CommentReference"/>
        </w:rPr>
        <w:commentReference w:id="10"/>
      </w:r>
      <w:r>
        <w:rPr>
          <w:b w:val="0"/>
          <w:i w:val="0"/>
        </w:rPr>
        <w:t>, with effect from the Commencement Date.</w:t>
      </w:r>
    </w:p>
    <w:p>
      <w:r>
        <w:rPr>
          <w:b w:val="0"/>
          <w:i w:val="0"/>
        </w:rPr>
        <w:t xml:space="preserve">3.2 The employment is for </w:t>
      </w:r>
      <w:commentRangeStart w:id="11"/>
      <w:r>
        <w:rPr>
          <w:b w:val="0"/>
          <w:i w:val="0"/>
          <w:highlight w:val="yellow"/>
        </w:rPr>
        <w:t>[Contract type (indefinite or fixed term)]</w:t>
      </w:r>
      <w:commentRangeEnd w:id="11"/>
      <w:r>
        <w:rPr>
          <w:rStyle w:val="CommentReference"/>
        </w:rPr>
        <w:commentReference w:id="11"/>
      </w:r>
      <w:r>
        <w:rPr>
          <w:b w:val="0"/>
          <w:i w:val="0"/>
        </w:rPr>
        <w:t xml:space="preserve">. Where a fixed term applies, the term ends on </w:t>
      </w:r>
      <w:commentRangeStart w:id="12"/>
      <w:r>
        <w:rPr>
          <w:b w:val="0"/>
          <w:i w:val="0"/>
          <w:highlight w:val="yellow"/>
        </w:rPr>
        <w:t>[Fixed term end date]</w:t>
      </w:r>
      <w:commentRangeEnd w:id="12"/>
      <w:r>
        <w:rPr>
          <w:rStyle w:val="CommentReference"/>
        </w:rPr>
        <w:commentReference w:id="12"/>
      </w:r>
      <w:r>
        <w:rPr>
          <w:b w:val="0"/>
          <w:i w:val="0"/>
        </w:rPr>
        <w:t xml:space="preserve"> unless earlier terminated in accordance with clause 15 or extended by written agreement.</w:t>
      </w:r>
    </w:p>
    <w:p>
      <w:r>
        <w:rPr>
          <w:b w:val="0"/>
          <w:i w:val="0"/>
        </w:rPr>
        <w:t xml:space="preserve">3.3 The first </w:t>
      </w:r>
      <w:commentRangeStart w:id="13"/>
      <w:r>
        <w:rPr>
          <w:b w:val="0"/>
          <w:i w:val="0"/>
          <w:highlight w:val="yellow"/>
        </w:rPr>
        <w:t>[Probation period (months)]</w:t>
      </w:r>
      <w:commentRangeEnd w:id="13"/>
      <w:r>
        <w:rPr>
          <w:rStyle w:val="CommentReference"/>
        </w:rPr>
        <w:commentReference w:id="13"/>
      </w:r>
      <w:r>
        <w:rPr>
          <w:b w:val="0"/>
          <w:i w:val="0"/>
        </w:rPr>
        <w:t xml:space="preserve"> months of employment are a probationary period during which either party may terminate the employment on </w:t>
      </w:r>
      <w:commentRangeStart w:id="14"/>
      <w:r>
        <w:rPr>
          <w:b w:val="0"/>
          <w:i w:val="0"/>
          <w:highlight w:val="yellow"/>
        </w:rPr>
        <w:t>[Probation notice (weeks)]</w:t>
      </w:r>
      <w:commentRangeEnd w:id="14"/>
      <w:r>
        <w:rPr>
          <w:rStyle w:val="CommentReference"/>
        </w:rPr>
        <w:commentReference w:id="14"/>
      </w:r>
      <w:r>
        <w:rPr>
          <w:b w:val="0"/>
          <w:i w:val="0"/>
        </w:rPr>
        <w:t xml:space="preserve"> weeks' written notice. The Company may extend probation once by written notice for a further period not exceeding the original period. Confirmation of employment shall be in writing.</w:t>
      </w:r>
    </w:p>
    <w:p>
      <w:r>
        <w:rPr>
          <w:b w:val="0"/>
          <w:i w:val="0"/>
        </w:rPr>
        <w:t xml:space="preserve">3.4 No period of employment with a previous employer counts towards continuous employment with the Company unless stated here: </w:t>
      </w:r>
      <w:commentRangeStart w:id="15"/>
      <w:r>
        <w:rPr>
          <w:b w:val="0"/>
          <w:i w:val="0"/>
          <w:highlight w:val="yellow"/>
        </w:rPr>
        <w:t>[Prior continuous service (if any)]</w:t>
      </w:r>
      <w:commentRangeEnd w:id="15"/>
      <w:r>
        <w:rPr>
          <w:rStyle w:val="CommentReference"/>
        </w:rPr>
        <w:commentReference w:id="15"/>
      </w:r>
      <w:r>
        <w:rPr>
          <w:b w:val="0"/>
          <w:i w:val="0"/>
        </w:rPr>
        <w:t>.</w:t>
      </w:r>
    </w:p>
    <w:p>
      <w:pPr>
        <w:pStyle w:val="Heading2"/>
      </w:pPr>
      <w:r>
        <w:rPr>
          <w:b w:val="0"/>
          <w:i w:val="0"/>
        </w:rPr>
        <w:t>4. DUTIES</w:t>
      </w:r>
    </w:p>
    <w:p>
      <w:r>
        <w:rPr>
          <w:b w:val="0"/>
          <w:i w:val="0"/>
        </w:rPr>
        <w:t>4.1 The Executive shall: (a) perform the duties of the role and such other duties consistent with the Executive's seniority as the Board may reasonably assign; (b) devote the whole of the Executive's working time, attention and skill to the business of the Company; (c) comply with all lawful and reasonable directions of the Board and with the Company's policies as amended from time to time; (d) act at all times in the best interests of the Company and, where the Executive is also a director, discharge the fiduciary duties and duty of care and skill imposed on directors by the Companies and Allied Matters Act 2020; and (e) promptly disclose to the Board any wrongdoing by the Executive or any other employee, and any conflict between the Executive's personal interests and those of any Group Company.</w:t>
      </w:r>
    </w:p>
    <w:p>
      <w:r>
        <w:rPr>
          <w:b w:val="0"/>
          <w:i w:val="0"/>
        </w:rPr>
        <w:t xml:space="preserve">4.2 The Executive shall not, without the prior written consent of the Board, hold any office, employment or consultancy, or have any interest (other than a shareholding of not more than </w:t>
      </w:r>
      <w:commentRangeStart w:id="16"/>
      <w:r>
        <w:rPr>
          <w:b w:val="0"/>
          <w:i w:val="0"/>
          <w:highlight w:val="yellow"/>
        </w:rPr>
        <w:t>[Permitted shareholding (%)]</w:t>
      </w:r>
      <w:commentRangeEnd w:id="16"/>
      <w:r>
        <w:rPr>
          <w:rStyle w:val="CommentReference"/>
        </w:rPr>
        <w:commentReference w:id="16"/>
      </w:r>
      <w:r>
        <w:rPr>
          <w:b w:val="0"/>
          <w:i w:val="0"/>
        </w:rPr>
        <w:t xml:space="preserve"> per cent in a company listed on a recognised securities exchange) in any business other than a Group Company.</w:t>
      </w:r>
    </w:p>
    <w:p>
      <w:r>
        <w:rPr>
          <w:b w:val="0"/>
          <w:i w:val="0"/>
        </w:rPr>
        <w:t>4.3 The Company may, on written notice, require the Executive to perform duties for any Group Company and may second the Executive to any Group Company on the terms of this Contract.</w:t>
      </w:r>
    </w:p>
    <w:p>
      <w:pPr>
        <w:pStyle w:val="Heading2"/>
      </w:pPr>
      <w:r>
        <w:rPr>
          <w:b w:val="0"/>
          <w:i w:val="0"/>
        </w:rPr>
        <w:t>5. PLACE AND HOURS OF WORK</w:t>
      </w:r>
    </w:p>
    <w:p>
      <w:r>
        <w:rPr>
          <w:b w:val="0"/>
          <w:i w:val="0"/>
        </w:rPr>
        <w:t xml:space="preserve">5.1 The Executive's normal place of work is </w:t>
      </w:r>
      <w:commentRangeStart w:id="17"/>
      <w:r>
        <w:rPr>
          <w:b w:val="0"/>
          <w:i w:val="0"/>
          <w:highlight w:val="yellow"/>
        </w:rPr>
        <w:t>[Place of work]</w:t>
      </w:r>
      <w:commentRangeEnd w:id="17"/>
      <w:r>
        <w:rPr>
          <w:rStyle w:val="CommentReference"/>
        </w:rPr>
        <w:commentReference w:id="17"/>
      </w:r>
      <w:r>
        <w:rPr>
          <w:b w:val="0"/>
          <w:i w:val="0"/>
        </w:rPr>
        <w:t>. The Executive shall travel within and outside Nigeria as the role reasonably requires.</w:t>
      </w:r>
    </w:p>
    <w:p>
      <w:r>
        <w:rPr>
          <w:b w:val="0"/>
          <w:i w:val="0"/>
        </w:rPr>
        <w:t xml:space="preserve">5.2 The Executive's normal working hours are </w:t>
      </w:r>
      <w:commentRangeStart w:id="18"/>
      <w:r>
        <w:rPr>
          <w:b w:val="0"/>
          <w:i w:val="0"/>
          <w:highlight w:val="yellow"/>
        </w:rPr>
        <w:t>[Normal working hours]</w:t>
      </w:r>
      <w:commentRangeEnd w:id="18"/>
      <w:r>
        <w:rPr>
          <w:rStyle w:val="CommentReference"/>
        </w:rPr>
        <w:commentReference w:id="18"/>
      </w:r>
      <w:r>
        <w:rPr>
          <w:b w:val="0"/>
          <w:i w:val="0"/>
        </w:rPr>
        <w:t>. As a senior executive, the Executive is expected to work such additional hours as are necessary for the proper performance of the role without additional remuneration.</w:t>
      </w:r>
    </w:p>
    <w:p>
      <w:pPr>
        <w:pStyle w:val="Heading2"/>
      </w:pPr>
      <w:r>
        <w:rPr>
          <w:b w:val="0"/>
          <w:i w:val="0"/>
        </w:rPr>
        <w:t>6. REMUNERATION</w:t>
      </w:r>
    </w:p>
    <w:p>
      <w:r>
        <w:rPr>
          <w:b w:val="0"/>
          <w:i w:val="0"/>
        </w:rPr>
        <w:t xml:space="preserve">6.1 </w:t>
      </w:r>
      <w:r>
        <w:rPr>
          <w:b/>
          <w:i w:val="0"/>
        </w:rPr>
        <w:t>Base Salary.</w:t>
      </w:r>
      <w:r>
        <w:rPr>
          <w:b w:val="0"/>
          <w:i w:val="0"/>
        </w:rPr>
        <w:t xml:space="preserve"> The Company shall pay the Executive a gross annual base salary of ₦</w:t>
      </w:r>
      <w:commentRangeStart w:id="19"/>
      <w:r>
        <w:rPr>
          <w:b w:val="0"/>
          <w:i w:val="0"/>
          <w:highlight w:val="yellow"/>
        </w:rPr>
        <w:t>[Base salary (₦ per annum)]</w:t>
      </w:r>
      <w:commentRangeEnd w:id="19"/>
      <w:r>
        <w:rPr>
          <w:rStyle w:val="CommentReference"/>
        </w:rPr>
        <w:commentReference w:id="19"/>
      </w:r>
      <w:r>
        <w:rPr>
          <w:b w:val="0"/>
          <w:i w:val="0"/>
        </w:rPr>
        <w:t xml:space="preserve">, payable in equal monthly instalments in arrears on or about the </w:t>
      </w:r>
      <w:commentRangeStart w:id="20"/>
      <w:r>
        <w:rPr>
          <w:b w:val="0"/>
          <w:i w:val="0"/>
          <w:highlight w:val="yellow"/>
        </w:rPr>
        <w:t>[Payroll date]</w:t>
      </w:r>
      <w:commentRangeEnd w:id="20"/>
      <w:r>
        <w:rPr>
          <w:rStyle w:val="CommentReference"/>
        </w:rPr>
        <w:commentReference w:id="20"/>
      </w:r>
      <w:r>
        <w:rPr>
          <w:b w:val="0"/>
          <w:i w:val="0"/>
        </w:rPr>
        <w:t xml:space="preserve"> day of each month by transfer to a bank account nominated by the Executive. Salary accrues from day to day.</w:t>
      </w:r>
    </w:p>
    <w:p>
      <w:r>
        <w:rPr>
          <w:b w:val="0"/>
          <w:i w:val="0"/>
        </w:rPr>
        <w:t xml:space="preserve">6.2 </w:t>
      </w:r>
      <w:r>
        <w:rPr>
          <w:b/>
          <w:i w:val="0"/>
        </w:rPr>
        <w:t>Review.</w:t>
      </w:r>
      <w:r>
        <w:rPr>
          <w:b w:val="0"/>
          <w:i w:val="0"/>
        </w:rPr>
        <w:t xml:space="preserve"> Base salary shall be reviewed annually, the first review to take place on or about </w:t>
      </w:r>
      <w:commentRangeStart w:id="21"/>
      <w:r>
        <w:rPr>
          <w:b w:val="0"/>
          <w:i w:val="0"/>
          <w:highlight w:val="yellow"/>
        </w:rPr>
        <w:t>[First salary review date]</w:t>
      </w:r>
      <w:commentRangeEnd w:id="21"/>
      <w:r>
        <w:rPr>
          <w:rStyle w:val="CommentReference"/>
        </w:rPr>
        <w:commentReference w:id="21"/>
      </w:r>
      <w:r>
        <w:rPr>
          <w:b w:val="0"/>
          <w:i w:val="0"/>
        </w:rPr>
        <w:t>. A review does not guarantee an increase.</w:t>
      </w:r>
    </w:p>
    <w:p>
      <w:r>
        <w:rPr>
          <w:b w:val="0"/>
          <w:i w:val="0"/>
        </w:rPr>
        <w:t xml:space="preserve">6.3 </w:t>
      </w:r>
      <w:r>
        <w:rPr>
          <w:b/>
          <w:i w:val="0"/>
        </w:rPr>
        <w:t>Bonus.</w:t>
      </w:r>
      <w:r>
        <w:rPr>
          <w:b w:val="0"/>
          <w:i w:val="0"/>
        </w:rPr>
        <w:t xml:space="preserve"> The Executive is eligible to participate in the Company's </w:t>
      </w:r>
      <w:commentRangeStart w:id="22"/>
      <w:r>
        <w:rPr>
          <w:b w:val="0"/>
          <w:i w:val="0"/>
          <w:highlight w:val="yellow"/>
        </w:rPr>
        <w:t>[Bonus scheme name]</w:t>
      </w:r>
      <w:commentRangeEnd w:id="22"/>
      <w:r>
        <w:rPr>
          <w:rStyle w:val="CommentReference"/>
        </w:rPr>
        <w:commentReference w:id="22"/>
      </w:r>
      <w:r>
        <w:rPr>
          <w:b w:val="0"/>
          <w:i w:val="0"/>
        </w:rPr>
        <w:t xml:space="preserve"> with a target bonus of </w:t>
      </w:r>
      <w:commentRangeStart w:id="23"/>
      <w:r>
        <w:rPr>
          <w:b w:val="0"/>
          <w:i w:val="0"/>
          <w:highlight w:val="yellow"/>
        </w:rPr>
        <w:t>[Target bonus (% of base salary)]</w:t>
      </w:r>
      <w:commentRangeEnd w:id="23"/>
      <w:r>
        <w:rPr>
          <w:rStyle w:val="CommentReference"/>
        </w:rPr>
        <w:commentReference w:id="23"/>
      </w:r>
      <w:r>
        <w:rPr>
          <w:b w:val="0"/>
          <w:i w:val="0"/>
        </w:rPr>
        <w:t xml:space="preserve"> per cent of base salary, subject to the rules of the scheme, performance conditions set by the Board, and the Executive being employed and not under notice on the payment date. Bonus is discretionary, non-pensionable, and no bonus in one year creates any entitlement in another.</w:t>
      </w:r>
    </w:p>
    <w:p>
      <w:r>
        <w:rPr>
          <w:b w:val="0"/>
          <w:i w:val="0"/>
        </w:rPr>
        <w:t xml:space="preserve">6.4 </w:t>
      </w:r>
      <w:r>
        <w:rPr>
          <w:b/>
          <w:i w:val="0"/>
        </w:rPr>
        <w:t>Equity.</w:t>
      </w:r>
      <w:r>
        <w:rPr>
          <w:b w:val="0"/>
          <w:i w:val="0"/>
        </w:rPr>
        <w:t xml:space="preserve"> Participation in any share option, share award or long-term incentive plan is governed exclusively by the rules of that plan: </w:t>
      </w:r>
      <w:commentRangeStart w:id="24"/>
      <w:r>
        <w:rPr>
          <w:b w:val="0"/>
          <w:i w:val="0"/>
          <w:highlight w:val="yellow"/>
        </w:rPr>
        <w:t>[Equity plan (if any)]</w:t>
      </w:r>
      <w:commentRangeEnd w:id="24"/>
      <w:r>
        <w:rPr>
          <w:rStyle w:val="CommentReference"/>
        </w:rPr>
        <w:commentReference w:id="24"/>
      </w:r>
      <w:r>
        <w:rPr>
          <w:b w:val="0"/>
          <w:i w:val="0"/>
        </w:rPr>
        <w:t>.</w:t>
      </w:r>
    </w:p>
    <w:p>
      <w:r>
        <w:rPr>
          <w:b w:val="0"/>
          <w:i w:val="0"/>
        </w:rPr>
        <w:t xml:space="preserve">6.5 </w:t>
      </w:r>
      <w:r>
        <w:rPr>
          <w:b/>
          <w:i w:val="0"/>
        </w:rPr>
        <w:t>Deductions.</w:t>
      </w:r>
      <w:r>
        <w:rPr>
          <w:b w:val="0"/>
          <w:i w:val="0"/>
        </w:rPr>
        <w:t xml:space="preserve"> The Company may deduct from any sum payable to the Executive any amount the Executive owes to any Group Company and all deductions required by law.</w:t>
      </w:r>
    </w:p>
    <w:p>
      <w:pPr>
        <w:pStyle w:val="Heading2"/>
      </w:pPr>
      <w:r>
        <w:rPr>
          <w:b w:val="0"/>
          <w:i w:val="0"/>
        </w:rPr>
        <w:t>7. STATUTORY CONTRIBUTIONS AND TAX</w:t>
      </w:r>
    </w:p>
    <w:p>
      <w:r>
        <w:rPr>
          <w:b w:val="0"/>
          <w:i w:val="0"/>
        </w:rPr>
        <w:t xml:space="preserve">7.1 </w:t>
      </w:r>
      <w:r>
        <w:rPr>
          <w:b/>
          <w:i w:val="0"/>
        </w:rPr>
        <w:t>PAYE.</w:t>
      </w:r>
      <w:r>
        <w:rPr>
          <w:b w:val="0"/>
          <w:i w:val="0"/>
        </w:rPr>
        <w:t xml:space="preserve"> The Company shall deduct personal income tax at source under the Pay-As-You-Earn system in accordance with the Nigeria Tax Act 2025, the Nigeria Tax Administration Act 2025 and the regulations made under it, and remit it to the relevant State internal revenue service.</w:t>
      </w:r>
    </w:p>
    <w:p>
      <w:r>
        <w:rPr>
          <w:b w:val="0"/>
          <w:i w:val="0"/>
        </w:rPr>
        <w:t xml:space="preserve">7.2 </w:t>
      </w:r>
      <w:r>
        <w:rPr>
          <w:b/>
          <w:i w:val="0"/>
        </w:rPr>
        <w:t>Pension.</w:t>
      </w:r>
      <w:r>
        <w:rPr>
          <w:b w:val="0"/>
          <w:i w:val="0"/>
        </w:rPr>
        <w:t xml:space="preserve"> In accordance with the Pension Reform Act 2014, the Company shall contribute a minimum of 10 per cent, and deduct from the Executive's emoluments and remit a minimum of 8 per cent, of the Executive's monthly emoluments (basic salary, housing and transport allowances) to the Executive's Retirement Savings Account with the Pension Fund Administrator nominated by the Executive: </w:t>
      </w:r>
      <w:commentRangeStart w:id="25"/>
      <w:r>
        <w:rPr>
          <w:b w:val="0"/>
          <w:i w:val="0"/>
          <w:highlight w:val="yellow"/>
        </w:rPr>
        <w:t>[Pension Fund Administrator]</w:t>
      </w:r>
      <w:commentRangeEnd w:id="25"/>
      <w:r>
        <w:rPr>
          <w:rStyle w:val="CommentReference"/>
        </w:rPr>
        <w:commentReference w:id="25"/>
      </w:r>
      <w:r>
        <w:rPr>
          <w:b w:val="0"/>
          <w:i w:val="0"/>
        </w:rPr>
        <w:t>. The Executive may make additional voluntary contributions.</w:t>
      </w:r>
    </w:p>
    <w:p>
      <w:r>
        <w:rPr>
          <w:b w:val="0"/>
          <w:i w:val="0"/>
        </w:rPr>
        <w:t xml:space="preserve">7.3 </w:t>
      </w:r>
      <w:r>
        <w:rPr>
          <w:b/>
          <w:i w:val="0"/>
        </w:rPr>
        <w:t>Employee Compensation.</w:t>
      </w:r>
      <w:r>
        <w:rPr>
          <w:b w:val="0"/>
          <w:i w:val="0"/>
        </w:rPr>
        <w:t xml:space="preserve"> The Company shall make the contributions required of an employer under the Employee Compensation Act 2010 to the Nigeria Social Insurance Trust Fund.</w:t>
      </w:r>
    </w:p>
    <w:p>
      <w:r>
        <w:rPr>
          <w:b w:val="0"/>
          <w:i w:val="0"/>
        </w:rPr>
        <w:t xml:space="preserve">7.4 </w:t>
      </w:r>
      <w:r>
        <w:rPr>
          <w:b/>
          <w:i w:val="0"/>
        </w:rPr>
        <w:t>Industrial Training Fund and National Housing Fund.</w:t>
      </w:r>
      <w:r>
        <w:rPr>
          <w:b w:val="0"/>
          <w:i w:val="0"/>
        </w:rPr>
        <w:t xml:space="preserve"> The Company shall comply with its obligations under the Industrial Training Fund Act and, where applicable to the Executive, shall deduct and remit the Executive's contribution to the National Housing Fund under the National Housing Fund Act.</w:t>
      </w:r>
    </w:p>
    <w:p>
      <w:r>
        <w:rPr>
          <w:b w:val="0"/>
          <w:i w:val="0"/>
        </w:rPr>
        <w:t xml:space="preserve">7.5 </w:t>
      </w:r>
      <w:r>
        <w:rPr>
          <w:b/>
          <w:i w:val="0"/>
        </w:rPr>
        <w:t>National Health Insurance.</w:t>
      </w:r>
      <w:r>
        <w:rPr>
          <w:b w:val="0"/>
          <w:i w:val="0"/>
        </w:rPr>
        <w:t xml:space="preserve"> The Company shall enrol the Executive in a health insurance scheme in compliance with the National Health Insurance Authority Act 2022.</w:t>
      </w:r>
    </w:p>
    <w:p>
      <w:pPr>
        <w:pStyle w:val="Heading2"/>
      </w:pPr>
      <w:r>
        <w:rPr>
          <w:b w:val="0"/>
          <w:i w:val="0"/>
        </w:rPr>
        <w:t>8. BENEFITS</w:t>
      </w:r>
    </w:p>
    <w:p>
      <w:r>
        <w:rPr>
          <w:b w:val="0"/>
          <w:i w:val="0"/>
        </w:rPr>
        <w:t>8.1 The Executive is entitled to the following benefits, each subject to the rules of the applicable scheme and to the Company's right to vary the scheme provider or terms on reasonable notice:</w:t>
      </w:r>
    </w:p>
    <w:p>
      <w:r>
        <w:rPr>
          <w:b w:val="0"/>
          <w:i w:val="0"/>
        </w:rPr>
        <w:t xml:space="preserve">(a) medical insurance cover for the Executive and </w:t>
      </w:r>
      <w:commentRangeStart w:id="26"/>
      <w:r>
        <w:rPr>
          <w:b w:val="0"/>
          <w:i w:val="0"/>
          <w:highlight w:val="yellow"/>
        </w:rPr>
        <w:t>[Dependants covered by medical insurance]</w:t>
      </w:r>
      <w:commentRangeEnd w:id="26"/>
      <w:r>
        <w:rPr>
          <w:rStyle w:val="CommentReference"/>
        </w:rPr>
        <w:commentReference w:id="26"/>
      </w:r>
      <w:r>
        <w:rPr>
          <w:b w:val="0"/>
          <w:i w:val="0"/>
        </w:rPr>
        <w:t xml:space="preserve"> under the Company's health maintenance organisation plan;</w:t>
      </w:r>
    </w:p>
    <w:p>
      <w:r>
        <w:rPr>
          <w:b w:val="0"/>
          <w:i w:val="0"/>
        </w:rPr>
        <w:t>(b) a housing allowance of ₦</w:t>
      </w:r>
      <w:commentRangeStart w:id="27"/>
      <w:r>
        <w:rPr>
          <w:b w:val="0"/>
          <w:i w:val="0"/>
          <w:highlight w:val="yellow"/>
        </w:rPr>
        <w:t>[Housing allowance (₦ per annum)]</w:t>
      </w:r>
      <w:commentRangeEnd w:id="27"/>
      <w:r>
        <w:rPr>
          <w:rStyle w:val="CommentReference"/>
        </w:rPr>
        <w:commentReference w:id="27"/>
      </w:r>
      <w:r>
        <w:rPr>
          <w:b w:val="0"/>
          <w:i w:val="0"/>
        </w:rPr>
        <w:t xml:space="preserve"> per annum, or Company-provided accommodation at </w:t>
      </w:r>
      <w:commentRangeStart w:id="28"/>
      <w:r>
        <w:rPr>
          <w:b w:val="0"/>
          <w:i w:val="0"/>
          <w:highlight w:val="yellow"/>
        </w:rPr>
        <w:t>[Company accommodation (if any)]</w:t>
      </w:r>
      <w:commentRangeEnd w:id="28"/>
      <w:r>
        <w:rPr>
          <w:rStyle w:val="CommentReference"/>
        </w:rPr>
        <w:commentReference w:id="28"/>
      </w:r>
      <w:r>
        <w:rPr>
          <w:b w:val="0"/>
          <w:i w:val="0"/>
        </w:rPr>
        <w:t>;</w:t>
      </w:r>
    </w:p>
    <w:p>
      <w:r>
        <w:rPr>
          <w:b w:val="0"/>
          <w:i w:val="0"/>
        </w:rPr>
        <w:t>(c) a transport allowance of ₦</w:t>
      </w:r>
      <w:commentRangeStart w:id="29"/>
      <w:r>
        <w:rPr>
          <w:b w:val="0"/>
          <w:i w:val="0"/>
          <w:highlight w:val="yellow"/>
        </w:rPr>
        <w:t>[Transport allowance (₦ per annum)]</w:t>
      </w:r>
      <w:commentRangeEnd w:id="29"/>
      <w:r>
        <w:rPr>
          <w:rStyle w:val="CommentReference"/>
        </w:rPr>
        <w:commentReference w:id="29"/>
      </w:r>
      <w:r>
        <w:rPr>
          <w:b w:val="0"/>
          <w:i w:val="0"/>
        </w:rPr>
        <w:t xml:space="preserve"> per annum, or a Company car of a class approved by the Board with fuel and maintenance;</w:t>
      </w:r>
    </w:p>
    <w:p>
      <w:r>
        <w:rPr>
          <w:b w:val="0"/>
          <w:i w:val="0"/>
        </w:rPr>
        <w:t>(d) group life assurance of not less than three times annual total emoluments as required by the Pension Reform Act 2014; and</w:t>
      </w:r>
    </w:p>
    <w:p>
      <w:r>
        <w:rPr>
          <w:b w:val="0"/>
          <w:i w:val="0"/>
        </w:rPr>
        <w:t xml:space="preserve">(e) </w:t>
      </w:r>
      <w:commentRangeStart w:id="30"/>
      <w:r>
        <w:rPr>
          <w:b w:val="0"/>
          <w:i w:val="0"/>
          <w:highlight w:val="yellow"/>
        </w:rPr>
        <w:t>[Other benefits]</w:t>
      </w:r>
      <w:commentRangeEnd w:id="30"/>
      <w:r>
        <w:rPr>
          <w:rStyle w:val="CommentReference"/>
        </w:rPr>
        <w:commentReference w:id="30"/>
      </w:r>
      <w:r>
        <w:rPr>
          <w:b w:val="0"/>
          <w:i w:val="0"/>
        </w:rPr>
        <w:t>.</w:t>
      </w:r>
    </w:p>
    <w:p>
      <w:r>
        <w:rPr>
          <w:b w:val="0"/>
          <w:i w:val="0"/>
        </w:rPr>
        <w:t>8.2 Benefits in kind are taxable to the extent provided by law and are not pensionable unless stated.</w:t>
      </w:r>
    </w:p>
    <w:p>
      <w:pPr>
        <w:pStyle w:val="Heading2"/>
      </w:pPr>
      <w:r>
        <w:rPr>
          <w:b w:val="0"/>
          <w:i w:val="0"/>
        </w:rPr>
        <w:t>9. EXPENSES</w:t>
      </w:r>
    </w:p>
    <w:p>
      <w:r>
        <w:rPr>
          <w:b w:val="0"/>
          <w:i w:val="0"/>
        </w:rPr>
        <w:t>The Company shall reimburse all reasonable travel, accommodation, entertainment and other expenses properly incurred by the Executive in performing the role, subject to the Company's expenses policy and the production of receipts or other evidence of expenditure.</w:t>
      </w:r>
    </w:p>
    <w:p>
      <w:pPr>
        <w:pStyle w:val="Heading2"/>
      </w:pPr>
      <w:r>
        <w:rPr>
          <w:b w:val="0"/>
          <w:i w:val="0"/>
        </w:rPr>
        <w:t>10. LEAVE</w:t>
      </w:r>
    </w:p>
    <w:p>
      <w:r>
        <w:rPr>
          <w:b w:val="0"/>
          <w:i w:val="0"/>
        </w:rPr>
        <w:t xml:space="preserve">10.1 </w:t>
      </w:r>
      <w:r>
        <w:rPr>
          <w:b/>
          <w:i w:val="0"/>
        </w:rPr>
        <w:t>Annual leave.</w:t>
      </w:r>
      <w:r>
        <w:rPr>
          <w:b w:val="0"/>
          <w:i w:val="0"/>
        </w:rPr>
        <w:t xml:space="preserve"> The Executive is entitled to </w:t>
      </w:r>
      <w:commentRangeStart w:id="31"/>
      <w:r>
        <w:rPr>
          <w:b w:val="0"/>
          <w:i w:val="0"/>
          <w:highlight w:val="yellow"/>
        </w:rPr>
        <w:t>[Annual leave (working days)]</w:t>
      </w:r>
      <w:commentRangeEnd w:id="31"/>
      <w:r>
        <w:rPr>
          <w:rStyle w:val="CommentReference"/>
        </w:rPr>
        <w:commentReference w:id="31"/>
      </w:r>
      <w:r>
        <w:rPr>
          <w:b w:val="0"/>
          <w:i w:val="0"/>
        </w:rPr>
        <w:t xml:space="preserve"> working days' paid annual leave in each leave year running from </w:t>
      </w:r>
      <w:commentRangeStart w:id="32"/>
      <w:r>
        <w:rPr>
          <w:b w:val="0"/>
          <w:i w:val="0"/>
          <w:highlight w:val="yellow"/>
        </w:rPr>
        <w:t>[Leave year start]</w:t>
      </w:r>
      <w:commentRangeEnd w:id="32"/>
      <w:r>
        <w:rPr>
          <w:rStyle w:val="CommentReference"/>
        </w:rPr>
        <w:commentReference w:id="32"/>
      </w:r>
      <w:r>
        <w:rPr>
          <w:b w:val="0"/>
          <w:i w:val="0"/>
        </w:rPr>
        <w:t xml:space="preserve">, in addition to public holidays declared under the Public Holidays Act. Leave shall be taken at times agreed with the Board. Not more than </w:t>
      </w:r>
      <w:commentRangeStart w:id="33"/>
      <w:r>
        <w:rPr>
          <w:b w:val="0"/>
          <w:i w:val="0"/>
          <w:highlight w:val="yellow"/>
        </w:rPr>
        <w:t>[Maximum leave carry-over (days)]</w:t>
      </w:r>
      <w:commentRangeEnd w:id="33"/>
      <w:r>
        <w:rPr>
          <w:rStyle w:val="CommentReference"/>
        </w:rPr>
        <w:commentReference w:id="33"/>
      </w:r>
      <w:r>
        <w:rPr>
          <w:b w:val="0"/>
          <w:i w:val="0"/>
        </w:rPr>
        <w:t xml:space="preserve"> days may be carried forward to the next leave year. On termination, accrued but untaken leave shall be paid in lieu, and leave taken in excess of accrual may be deducted from final pay.</w:t>
      </w:r>
    </w:p>
    <w:p>
      <w:r>
        <w:rPr>
          <w:b w:val="0"/>
          <w:i w:val="0"/>
        </w:rPr>
        <w:t xml:space="preserve">10.2 </w:t>
      </w:r>
      <w:r>
        <w:rPr>
          <w:b/>
          <w:i w:val="0"/>
        </w:rPr>
        <w:t>Sick leave.</w:t>
      </w:r>
      <w:r>
        <w:rPr>
          <w:b w:val="0"/>
          <w:i w:val="0"/>
        </w:rPr>
        <w:t xml:space="preserve"> The Executive is entitled to up to </w:t>
      </w:r>
      <w:commentRangeStart w:id="34"/>
      <w:r>
        <w:rPr>
          <w:b w:val="0"/>
          <w:i w:val="0"/>
          <w:highlight w:val="yellow"/>
        </w:rPr>
        <w:t>[Paid sick leave (working days per year)]</w:t>
      </w:r>
      <w:commentRangeEnd w:id="34"/>
      <w:r>
        <w:rPr>
          <w:rStyle w:val="CommentReference"/>
        </w:rPr>
        <w:commentReference w:id="34"/>
      </w:r>
      <w:r>
        <w:rPr>
          <w:b w:val="0"/>
          <w:i w:val="0"/>
        </w:rPr>
        <w:t xml:space="preserve"> working days' paid sick leave in any twelve-month period, subject to production of a medical certificate for absences exceeding two consecutive working days. Thereafter, payment is at the Board's discretion. The Company may require the Executive to undergo a medical examination by a practitioner nominated by the Company at the Company's cost.</w:t>
      </w:r>
    </w:p>
    <w:p>
      <w:r>
        <w:rPr>
          <w:b w:val="0"/>
          <w:i w:val="0"/>
        </w:rPr>
        <w:t xml:space="preserve">10.3 </w:t>
      </w:r>
      <w:r>
        <w:rPr>
          <w:b/>
          <w:i w:val="0"/>
        </w:rPr>
        <w:t>Maternity and paternity leave.</w:t>
      </w:r>
      <w:r>
        <w:rPr>
          <w:b w:val="0"/>
          <w:i w:val="0"/>
        </w:rPr>
        <w:t xml:space="preserve"> A female Executive is entitled to not less than twelve weeks' maternity leave with full pay, and the Executive is entitled to paternity leave in accordance with the Company's policy and any applicable State law: </w:t>
      </w:r>
      <w:commentRangeStart w:id="35"/>
      <w:r>
        <w:rPr>
          <w:b w:val="0"/>
          <w:i w:val="0"/>
          <w:highlight w:val="yellow"/>
        </w:rPr>
        <w:t>[Paternity leave (working days)]</w:t>
      </w:r>
      <w:commentRangeEnd w:id="35"/>
      <w:r>
        <w:rPr>
          <w:rStyle w:val="CommentReference"/>
        </w:rPr>
        <w:commentReference w:id="35"/>
      </w:r>
      <w:r>
        <w:rPr>
          <w:b w:val="0"/>
          <w:i w:val="0"/>
        </w:rPr>
        <w:t xml:space="preserve"> working days.</w:t>
      </w:r>
    </w:p>
    <w:p>
      <w:r>
        <w:rPr>
          <w:b w:val="0"/>
          <w:i w:val="0"/>
        </w:rPr>
        <w:t xml:space="preserve">10.4 </w:t>
      </w:r>
      <w:r>
        <w:rPr>
          <w:b/>
          <w:i w:val="0"/>
        </w:rPr>
        <w:t>Compassionate and study leave.</w:t>
      </w:r>
      <w:r>
        <w:rPr>
          <w:b w:val="0"/>
          <w:i w:val="0"/>
        </w:rPr>
        <w:t xml:space="preserve"> As set out in the Company's policies from time to time.</w:t>
      </w:r>
    </w:p>
    <w:p>
      <w:pPr>
        <w:pStyle w:val="Heading2"/>
      </w:pPr>
      <w:r>
        <w:rPr>
          <w:b w:val="0"/>
          <w:i w:val="0"/>
        </w:rPr>
        <w:t>11. CONFIDENTIALITY</w:t>
      </w:r>
    </w:p>
    <w:p>
      <w:r>
        <w:rPr>
          <w:b w:val="0"/>
          <w:i w:val="0"/>
        </w:rPr>
        <w:t>11.1 The Executive shall not, during the employment (except in the proper performance of duties) or at any time afterwards, use or disclose to any person any Confidential Information, and shall use best endeavours to prevent its unauthorised use or disclosure.</w:t>
      </w:r>
    </w:p>
    <w:p>
      <w:r>
        <w:rPr>
          <w:b w:val="0"/>
          <w:i w:val="0"/>
        </w:rPr>
        <w:t>11.2 Clause 11.1 does not apply to information that is or becomes public (other than through the Executive's breach), that the Executive is required by law to disclose, or that constitutes a protected disclosure of wrongdoing made in good faith to an appropriate regulatory authority.</w:t>
      </w:r>
    </w:p>
    <w:p>
      <w:r>
        <w:rPr>
          <w:b w:val="0"/>
          <w:i w:val="0"/>
        </w:rPr>
        <w:t>11.3 On termination or at any time on request, the Executive shall return all property, documents and data of any Group Company (in any medium), permanently delete Confidential Information from any personal device or account, and certify in writing that this has been done.</w:t>
      </w:r>
    </w:p>
    <w:p>
      <w:pPr>
        <w:pStyle w:val="Heading2"/>
      </w:pPr>
      <w:r>
        <w:rPr>
          <w:b w:val="0"/>
          <w:i w:val="0"/>
        </w:rPr>
        <w:t>12. DATA PROTECTION</w:t>
      </w:r>
    </w:p>
    <w:p>
      <w:r>
        <w:rPr>
          <w:b w:val="0"/>
          <w:i w:val="0"/>
        </w:rPr>
        <w:t>12.1 The Company processes the Executive's Personal Data as data controller in accordance with the Nigeria Data Protection Act 2023 and the Company's employee privacy notice, for the purposes of administering the employment, complying with legal obligations (including tax, pension and immigration), and protecting the Company's legitimate interests. The Executive acknowledges receipt of the privacy notice.</w:t>
      </w:r>
    </w:p>
    <w:p>
      <w:r>
        <w:rPr>
          <w:b w:val="0"/>
          <w:i w:val="0"/>
        </w:rPr>
        <w:t xml:space="preserve">12.2 The Executive shall comply with the Nigeria Data Protection Act 2023 and the Company's data protection policies when processing Personal Data in the course of employment, shall complete the data protection training the Company requires, and shall report any personal data breach to </w:t>
      </w:r>
      <w:commentRangeStart w:id="36"/>
      <w:r>
        <w:rPr>
          <w:b w:val="0"/>
          <w:i w:val="0"/>
          <w:highlight w:val="yellow"/>
        </w:rPr>
        <w:t>[Data Protection Officer contact]</w:t>
      </w:r>
      <w:commentRangeEnd w:id="36"/>
      <w:r>
        <w:rPr>
          <w:rStyle w:val="CommentReference"/>
        </w:rPr>
        <w:commentReference w:id="36"/>
      </w:r>
      <w:r>
        <w:rPr>
          <w:b w:val="0"/>
          <w:i w:val="0"/>
        </w:rPr>
        <w:t xml:space="preserve"> immediately on becoming aware of it.</w:t>
      </w:r>
    </w:p>
    <w:p>
      <w:pPr>
        <w:pStyle w:val="Heading2"/>
      </w:pPr>
      <w:r>
        <w:rPr>
          <w:b w:val="0"/>
          <w:i w:val="0"/>
        </w:rPr>
        <w:t>13. INTELLECTUAL PROPERTY</w:t>
      </w:r>
    </w:p>
    <w:p>
      <w:r>
        <w:rPr>
          <w:b w:val="0"/>
          <w:i w:val="0"/>
        </w:rPr>
        <w:t>13.1 All inventions, designs, works, software, databases, processes, improvements and other intellectual property made, conceived or developed by the Executive, alone or with others, in the course of employment or using the Company's resources or Confidential Information ("</w:t>
      </w:r>
      <w:r>
        <w:rPr>
          <w:b/>
          <w:i w:val="0"/>
        </w:rPr>
        <w:t>Work Product</w:t>
      </w:r>
      <w:r>
        <w:rPr>
          <w:b w:val="0"/>
          <w:i w:val="0"/>
        </w:rPr>
        <w:t>") belong to the Company absolutely on creation. The Executive hereby assigns to the Company, by way of present assignment of future rights, all right, title and interest in Work Product and irrevocably waives all moral rights in it to the extent permitted by the Copyright Act 2022.</w:t>
      </w:r>
    </w:p>
    <w:p>
      <w:r>
        <w:rPr>
          <w:b w:val="0"/>
          <w:i w:val="0"/>
        </w:rPr>
        <w:t>13.2 The Executive shall promptly disclose Work Product to the Company, keep it confidential, and at the Company's request and cost execute all documents and do all things necessary to vest Work Product in the Company and to secure patent, design, trade mark or other protection anywhere in the world. The Executive irrevocably appoints the Company as attorney to execute such documents in the Executive's name if the Executive fails to do so within seven days of request.</w:t>
      </w:r>
    </w:p>
    <w:p>
      <w:pPr>
        <w:pStyle w:val="Heading2"/>
      </w:pPr>
      <w:r>
        <w:rPr>
          <w:b w:val="0"/>
          <w:i w:val="0"/>
        </w:rPr>
        <w:t>14. DIRECTORSHIP</w:t>
      </w:r>
    </w:p>
    <w:p>
      <w:r>
        <w:rPr>
          <w:b w:val="0"/>
          <w:i w:val="0"/>
        </w:rPr>
        <w:t>14.1 If the Executive is appointed a director of any Group Company, the Executive shall comply with the Companies and Allied Matters Act 2020 and the articles of that company, shall not resign as a director without the Board's prior consent except on termination of employment, and shall resign from every such office immediately on the Termination Date or on being required to do so by the Board. The Executive irrevocably appoints the Company as attorney to execute any resignation the Executive fails to deliver.</w:t>
      </w:r>
    </w:p>
    <w:p>
      <w:r>
        <w:rPr>
          <w:b w:val="0"/>
          <w:i w:val="0"/>
        </w:rPr>
        <w:t>14.2 Removal from or failure to be re-elected to any directorship does not of itself terminate the employment or constitute a breach of this Contract by the Company.</w:t>
      </w:r>
    </w:p>
    <w:p>
      <w:pPr>
        <w:pStyle w:val="Heading2"/>
      </w:pPr>
      <w:r>
        <w:rPr>
          <w:b w:val="0"/>
          <w:i w:val="0"/>
        </w:rPr>
        <w:t>15. TERMINATION</w:t>
      </w:r>
    </w:p>
    <w:p>
      <w:r>
        <w:rPr>
          <w:b w:val="0"/>
          <w:i w:val="0"/>
        </w:rPr>
        <w:t xml:space="preserve">15.1 </w:t>
      </w:r>
      <w:r>
        <w:rPr>
          <w:b/>
          <w:i w:val="0"/>
        </w:rPr>
        <w:t>Notice.</w:t>
      </w:r>
      <w:r>
        <w:rPr>
          <w:b w:val="0"/>
          <w:i w:val="0"/>
        </w:rPr>
        <w:t xml:space="preserve"> After probation, either party may terminate the employment by giving the other not less than </w:t>
      </w:r>
      <w:commentRangeStart w:id="37"/>
      <w:r>
        <w:rPr>
          <w:b w:val="0"/>
          <w:i w:val="0"/>
          <w:highlight w:val="yellow"/>
        </w:rPr>
        <w:t>[Notice period (months)]</w:t>
      </w:r>
      <w:commentRangeEnd w:id="37"/>
      <w:r>
        <w:rPr>
          <w:rStyle w:val="CommentReference"/>
        </w:rPr>
        <w:commentReference w:id="37"/>
      </w:r>
      <w:r>
        <w:rPr>
          <w:b w:val="0"/>
          <w:i w:val="0"/>
        </w:rPr>
        <w:t xml:space="preserve"> months' written notice. Where the Company terminates, it shall state the reason for termination in the notice, consistent with the developing jurisprudence of the National Industrial Court of Nigeria and international labour standards on termination of employment.</w:t>
      </w:r>
    </w:p>
    <w:p>
      <w:r>
        <w:rPr>
          <w:b w:val="0"/>
          <w:i w:val="0"/>
        </w:rPr>
        <w:t xml:space="preserve">15.2 </w:t>
      </w:r>
      <w:r>
        <w:rPr>
          <w:b/>
          <w:i w:val="0"/>
        </w:rPr>
        <w:t>Payment in lieu.</w:t>
      </w:r>
      <w:r>
        <w:rPr>
          <w:b w:val="0"/>
          <w:i w:val="0"/>
        </w:rPr>
        <w:t xml:space="preserve"> The Company may terminate the employment with immediate effect by paying the Executive a sum equal to base salary (and, at the Company's election, the cash value of the contractual benefits in clause 8.1(b) and (c)) for the unexpired part of the notice period, less statutory deductions. Payment in lieu does not include bonus or accrual of benefits for the notice period.</w:t>
      </w:r>
    </w:p>
    <w:p>
      <w:r>
        <w:rPr>
          <w:b w:val="0"/>
          <w:i w:val="0"/>
        </w:rPr>
        <w:t xml:space="preserve">15.3 </w:t>
      </w:r>
      <w:r>
        <w:rPr>
          <w:b/>
          <w:i w:val="0"/>
        </w:rPr>
        <w:t>Summary termination.</w:t>
      </w:r>
      <w:r>
        <w:rPr>
          <w:b w:val="0"/>
          <w:i w:val="0"/>
        </w:rPr>
        <w:t xml:space="preserve"> The Company may terminate the employment without notice or payment in lieu if the Executive: (a) commits gross misconduct, fraud, dishonesty or serious breach of this Contract or of Company policy; (b) is convicted of a criminal offence (other than a road traffic offence not attracting a custodial sentence); (c) is disqualified from acting as a director; (d) becomes bankrupt or makes any arrangement with creditors; (e) is guilty of serious or persistent neglect of duty after written warning; or (f) brings any Group Company into serious disrepute. Before exercising this right, the Company shall give the Executive written notice of the allegation and a reasonable opportunity to respond, in accordance with the principles of fair hearing.</w:t>
      </w:r>
    </w:p>
    <w:p>
      <w:r>
        <w:rPr>
          <w:b w:val="0"/>
          <w:i w:val="0"/>
        </w:rPr>
        <w:t xml:space="preserve">15.4 </w:t>
      </w:r>
      <w:r>
        <w:rPr>
          <w:b/>
          <w:i w:val="0"/>
        </w:rPr>
        <w:t>Fixed term.</w:t>
      </w:r>
      <w:r>
        <w:rPr>
          <w:b w:val="0"/>
          <w:i w:val="0"/>
        </w:rPr>
        <w:t xml:space="preserve"> Where a fixed term applies and the Company terminates without cause before its expiry, the Executive shall be entitled to base salary for the lesser of the unexpired term and </w:t>
      </w:r>
      <w:commentRangeStart w:id="38"/>
      <w:r>
        <w:rPr>
          <w:b w:val="0"/>
          <w:i w:val="0"/>
          <w:highlight w:val="yellow"/>
        </w:rPr>
        <w:t>[Early termination cap (months)]</w:t>
      </w:r>
      <w:commentRangeEnd w:id="38"/>
      <w:r>
        <w:rPr>
          <w:rStyle w:val="CommentReference"/>
        </w:rPr>
        <w:commentReference w:id="38"/>
      </w:r>
      <w:r>
        <w:rPr>
          <w:b w:val="0"/>
          <w:i w:val="0"/>
        </w:rPr>
        <w:t xml:space="preserve"> months, less statutory deductions, in full and final settlement of all claims arising from the termination.</w:t>
      </w:r>
    </w:p>
    <w:p>
      <w:r>
        <w:rPr>
          <w:b w:val="0"/>
          <w:i w:val="0"/>
        </w:rPr>
        <w:t xml:space="preserve">15.5 </w:t>
      </w:r>
      <w:r>
        <w:rPr>
          <w:b/>
          <w:i w:val="0"/>
        </w:rPr>
        <w:t>Redundancy.</w:t>
      </w:r>
      <w:r>
        <w:rPr>
          <w:b w:val="0"/>
          <w:i w:val="0"/>
        </w:rPr>
        <w:t xml:space="preserve"> If the role becomes redundant, the Company shall consult the Executive and pay a redundancy payment calculated at </w:t>
      </w:r>
      <w:commentRangeStart w:id="39"/>
      <w:r>
        <w:rPr>
          <w:b w:val="0"/>
          <w:i w:val="0"/>
          <w:highlight w:val="yellow"/>
        </w:rPr>
        <w:t>[Redundancy formula]</w:t>
      </w:r>
      <w:commentRangeEnd w:id="39"/>
      <w:r>
        <w:rPr>
          <w:rStyle w:val="CommentReference"/>
        </w:rPr>
        <w:commentReference w:id="39"/>
      </w:r>
      <w:r>
        <w:rPr>
          <w:b w:val="0"/>
          <w:i w:val="0"/>
        </w:rPr>
        <w:t xml:space="preserve"> in addition to notice or payment in lieu.</w:t>
      </w:r>
    </w:p>
    <w:p>
      <w:pPr>
        <w:pStyle w:val="Heading2"/>
      </w:pPr>
      <w:r>
        <w:rPr>
          <w:b w:val="0"/>
          <w:i w:val="0"/>
        </w:rPr>
        <w:t>16. GARDEN LEAVE</w:t>
      </w:r>
    </w:p>
    <w:p>
      <w:r>
        <w:rPr>
          <w:b w:val="0"/>
          <w:i w:val="0"/>
        </w:rPr>
        <w:t>16.1 After notice of termination is given by either party, the Company may for all or part of the notice period ("</w:t>
      </w:r>
      <w:r>
        <w:rPr>
          <w:b/>
          <w:i w:val="0"/>
        </w:rPr>
        <w:t>Garden Leave</w:t>
      </w:r>
      <w:r>
        <w:rPr>
          <w:b w:val="0"/>
          <w:i w:val="0"/>
        </w:rPr>
        <w:t>") require the Executive to: (a) perform no duties or only specified duties; (b) not attend the Company's premises or contact any customer, supplier or employee of any Group Company; (c) resign any directorships; and (d) remain available to the Company during normal working hours.</w:t>
      </w:r>
    </w:p>
    <w:p>
      <w:r>
        <w:rPr>
          <w:b w:val="0"/>
          <w:i w:val="0"/>
        </w:rPr>
        <w:t>16.2 During Garden Leave the Executive continues to receive base salary and contractual benefits (but not bonus), remains bound by all duties of fidelity, confidentiality and good faith, and shall not work for any other person.</w:t>
      </w:r>
    </w:p>
    <w:p>
      <w:pPr>
        <w:pStyle w:val="Heading2"/>
      </w:pPr>
      <w:r>
        <w:rPr>
          <w:b w:val="0"/>
          <w:i w:val="0"/>
        </w:rPr>
        <w:t>17. RESTRICTIVE COVENANTS</w:t>
      </w:r>
    </w:p>
    <w:p>
      <w:r>
        <w:rPr>
          <w:b w:val="0"/>
          <w:i w:val="0"/>
        </w:rPr>
        <w:t>17.1 The Executive acknowledges that by reason of the role the Executive will acquire Confidential Information and influence over the customers, suppliers and employees of the Group, and that the following restrictions are no wider than reasonably necessary to protect the Group's legitimate business interests, having regard to the principle under Nigerian law that a covenant in restraint of trade is enforceable only if reasonable in the interests of the parties and the public.</w:t>
      </w:r>
    </w:p>
    <w:p>
      <w:r>
        <w:rPr>
          <w:b w:val="0"/>
          <w:i w:val="0"/>
        </w:rPr>
        <w:t>17.2 The Executive shall not, during the Restricted Period, without the Board's prior written consent, directly or indirectly:</w:t>
      </w:r>
    </w:p>
    <w:p>
      <w:r>
        <w:rPr>
          <w:b w:val="0"/>
          <w:i w:val="0"/>
        </w:rPr>
        <w:t xml:space="preserve">(a) within </w:t>
      </w:r>
      <w:commentRangeStart w:id="40"/>
      <w:r>
        <w:rPr>
          <w:b w:val="0"/>
          <w:i w:val="0"/>
          <w:highlight w:val="yellow"/>
        </w:rPr>
        <w:t>[Non-compete territory]</w:t>
      </w:r>
      <w:commentRangeEnd w:id="40"/>
      <w:r>
        <w:rPr>
          <w:rStyle w:val="CommentReference"/>
        </w:rPr>
        <w:commentReference w:id="40"/>
      </w:r>
      <w:r>
        <w:rPr>
          <w:b w:val="0"/>
          <w:i w:val="0"/>
        </w:rPr>
        <w:t>, be engaged, concerned or interested in any business that competes with any business of a Group Company with which the Executive was materially involved in the twelve months before the Termination Date;</w:t>
      </w:r>
    </w:p>
    <w:p>
      <w:r>
        <w:rPr>
          <w:b w:val="0"/>
          <w:i w:val="0"/>
        </w:rPr>
        <w:t>(b) solicit or canvass, or accept business from, any person who was a customer or prospective customer of a Group Company with whom the Executive dealt in those twelve months, in competition with the Group;</w:t>
      </w:r>
    </w:p>
    <w:p>
      <w:r>
        <w:rPr>
          <w:b w:val="0"/>
          <w:i w:val="0"/>
        </w:rPr>
        <w:t>(c) interfere with the supply of goods or services to a Group Company by any supplier with whom the Executive dealt in those twelve months; or</w:t>
      </w:r>
    </w:p>
    <w:p>
      <w:r>
        <w:rPr>
          <w:b w:val="0"/>
          <w:i w:val="0"/>
        </w:rPr>
        <w:t>(d) solicit or induce any senior employee or consultant of a Group Company with whom the Executive worked in those twelve months to leave the Group.</w:t>
      </w:r>
    </w:p>
    <w:p>
      <w:r>
        <w:rPr>
          <w:b w:val="0"/>
          <w:i w:val="0"/>
        </w:rPr>
        <w:t>17.3 Each restriction is a separate, severable obligation. If any restriction is held unenforceable but would be enforceable if part of its wording were deleted or its duration or territory reduced, it shall apply with such modification as is necessary to make it enforceable.</w:t>
      </w:r>
    </w:p>
    <w:p>
      <w:r>
        <w:rPr>
          <w:b w:val="0"/>
          <w:i w:val="0"/>
        </w:rPr>
        <w:t>17.4 The Executive shall, before accepting any employment or engagement during the Restricted Period, provide a copy of this clause 17 to the prospective employer or principal.</w:t>
      </w:r>
    </w:p>
    <w:p>
      <w:pPr>
        <w:pStyle w:val="Heading2"/>
      </w:pPr>
      <w:r>
        <w:rPr>
          <w:b w:val="0"/>
          <w:i w:val="0"/>
        </w:rPr>
        <w:t>18. DISCIPLINARY AND GRIEVANCE</w:t>
      </w:r>
    </w:p>
    <w:p>
      <w:r>
        <w:rPr>
          <w:b w:val="0"/>
          <w:i w:val="0"/>
        </w:rPr>
        <w:t xml:space="preserve">18.1 The Company's disciplinary and grievance procedures (as amended from time to time) apply to the Executive but do not form part of this Contract. Any grievance shall be raised in writing with </w:t>
      </w:r>
      <w:commentRangeStart w:id="41"/>
      <w:r>
        <w:rPr>
          <w:b w:val="0"/>
          <w:i w:val="0"/>
          <w:highlight w:val="yellow"/>
        </w:rPr>
        <w:t>[Grievance recipient]</w:t>
      </w:r>
      <w:commentRangeEnd w:id="41"/>
      <w:r>
        <w:rPr>
          <w:rStyle w:val="CommentReference"/>
        </w:rPr>
        <w:commentReference w:id="41"/>
      </w:r>
      <w:r>
        <w:rPr>
          <w:b w:val="0"/>
          <w:i w:val="0"/>
        </w:rPr>
        <w:t>. Any appeal against a disciplinary decision shall be made in writing to the Board within seven days.</w:t>
      </w:r>
    </w:p>
    <w:p>
      <w:r>
        <w:rPr>
          <w:b w:val="0"/>
          <w:i w:val="0"/>
        </w:rPr>
        <w:t>18.2 The Company may suspend the Executive on full pay for a reasonable period to investigate any allegation of misconduct.</w:t>
      </w:r>
    </w:p>
    <w:p>
      <w:pPr>
        <w:pStyle w:val="Heading2"/>
      </w:pPr>
      <w:r>
        <w:rPr>
          <w:b w:val="0"/>
          <w:i w:val="0"/>
        </w:rPr>
        <w:t>19. GENERAL</w:t>
      </w:r>
    </w:p>
    <w:p>
      <w:r>
        <w:rPr>
          <w:b w:val="0"/>
          <w:i w:val="0"/>
        </w:rPr>
        <w:t xml:space="preserve">19.1 </w:t>
      </w:r>
      <w:r>
        <w:rPr>
          <w:b/>
          <w:i w:val="0"/>
        </w:rPr>
        <w:t>Entire agreement.</w:t>
      </w:r>
      <w:r>
        <w:rPr>
          <w:b w:val="0"/>
          <w:i w:val="0"/>
        </w:rPr>
        <w:t xml:space="preserve"> This Contract, together with the documents referred to in it, is the entire agreement between the parties on its subject matter and supersedes all previous agreements, offer letters and understandings, whether written or oral.</w:t>
      </w:r>
    </w:p>
    <w:p>
      <w:r>
        <w:rPr>
          <w:b w:val="0"/>
          <w:i w:val="0"/>
        </w:rPr>
        <w:t xml:space="preserve">19.2 </w:t>
      </w:r>
      <w:r>
        <w:rPr>
          <w:b/>
          <w:i w:val="0"/>
        </w:rPr>
        <w:t>Variation.</w:t>
      </w:r>
      <w:r>
        <w:rPr>
          <w:b w:val="0"/>
          <w:i w:val="0"/>
        </w:rPr>
        <w:t xml:space="preserve"> No variation is effective unless in writing and signed by both parties.</w:t>
      </w:r>
    </w:p>
    <w:p>
      <w:r>
        <w:rPr>
          <w:b w:val="0"/>
          <w:i w:val="0"/>
        </w:rPr>
        <w:t xml:space="preserve">19.3 </w:t>
      </w:r>
      <w:r>
        <w:rPr>
          <w:b/>
          <w:i w:val="0"/>
        </w:rPr>
        <w:t>Notices.</w:t>
      </w:r>
      <w:r>
        <w:rPr>
          <w:b w:val="0"/>
          <w:i w:val="0"/>
        </w:rPr>
        <w:t xml:space="preserve"> Notices shall be in writing and delivered by hand, courier or email to the Company at </w:t>
      </w:r>
      <w:commentRangeStart w:id="42"/>
      <w:r>
        <w:rPr>
          <w:b w:val="0"/>
          <w:i w:val="0"/>
          <w:highlight w:val="yellow"/>
        </w:rPr>
        <w:t>[Company notice email]</w:t>
      </w:r>
      <w:commentRangeEnd w:id="42"/>
      <w:r>
        <w:rPr>
          <w:rStyle w:val="CommentReference"/>
        </w:rPr>
        <w:commentReference w:id="42"/>
      </w:r>
      <w:r>
        <w:rPr>
          <w:b w:val="0"/>
          <w:i w:val="0"/>
        </w:rPr>
        <w:t xml:space="preserve"> and to the Executive at the address above or </w:t>
      </w:r>
      <w:commentRangeStart w:id="43"/>
      <w:r>
        <w:rPr>
          <w:b w:val="0"/>
          <w:i w:val="0"/>
          <w:highlight w:val="yellow"/>
        </w:rPr>
        <w:t>[Executive email]</w:t>
      </w:r>
      <w:commentRangeEnd w:id="43"/>
      <w:r>
        <w:rPr>
          <w:rStyle w:val="CommentReference"/>
        </w:rPr>
        <w:commentReference w:id="43"/>
      </w:r>
      <w:r>
        <w:rPr>
          <w:b w:val="0"/>
          <w:i w:val="0"/>
        </w:rPr>
        <w:t>, and are deemed received on delivery or, if by email, on the next working day.</w:t>
      </w:r>
    </w:p>
    <w:p>
      <w:r>
        <w:rPr>
          <w:b w:val="0"/>
          <w:i w:val="0"/>
        </w:rPr>
        <w:t xml:space="preserve">19.4 </w:t>
      </w:r>
      <w:r>
        <w:rPr>
          <w:b/>
          <w:i w:val="0"/>
        </w:rPr>
        <w:t>Severance.</w:t>
      </w:r>
      <w:r>
        <w:rPr>
          <w:b w:val="0"/>
          <w:i w:val="0"/>
        </w:rPr>
        <w:t xml:space="preserve"> Invalidity of any provision does not affect the remainder.</w:t>
      </w:r>
    </w:p>
    <w:p>
      <w:r>
        <w:rPr>
          <w:b w:val="0"/>
          <w:i w:val="0"/>
        </w:rPr>
        <w:t xml:space="preserve">19.5 </w:t>
      </w:r>
      <w:r>
        <w:rPr>
          <w:b/>
          <w:i w:val="0"/>
        </w:rPr>
        <w:t>Survival.</w:t>
      </w:r>
      <w:r>
        <w:rPr>
          <w:b w:val="0"/>
          <w:i w:val="0"/>
        </w:rPr>
        <w:t xml:space="preserve"> Clauses 11, 12, 13, 14, 16, 17 and 20 survive termination.</w:t>
      </w:r>
    </w:p>
    <w:p>
      <w:r>
        <w:rPr>
          <w:b w:val="0"/>
          <w:i w:val="0"/>
        </w:rPr>
        <w:t xml:space="preserve">19.6 </w:t>
      </w:r>
      <w:r>
        <w:rPr>
          <w:b/>
          <w:i w:val="0"/>
        </w:rPr>
        <w:t>Counterparts and electronic signature.</w:t>
      </w:r>
      <w:r>
        <w:rPr>
          <w:b w:val="0"/>
          <w:i w:val="0"/>
        </w:rPr>
        <w:t xml:space="preserve"> This Contract may be executed in counterparts and electronically.</w:t>
      </w:r>
    </w:p>
    <w:p>
      <w:pPr>
        <w:pStyle w:val="Heading2"/>
      </w:pPr>
      <w:r>
        <w:rPr>
          <w:b w:val="0"/>
          <w:i w:val="0"/>
        </w:rPr>
        <w:t>20. GOVERNING LAW AND JURISDICTION</w:t>
      </w:r>
    </w:p>
    <w:p>
      <w:r>
        <w:rPr>
          <w:b w:val="0"/>
          <w:i w:val="0"/>
        </w:rPr>
        <w:t>20.1 This Contract is governed by the laws of the Federal Republic of Nigeria.</w:t>
      </w:r>
    </w:p>
    <w:p>
      <w:r>
        <w:rPr>
          <w:b w:val="0"/>
          <w:i w:val="0"/>
        </w:rPr>
        <w:t xml:space="preserve">20.2 The parties submit to the exclusive jurisdiction of the National Industrial Court of Nigeria, which has exclusive jurisdiction over matters relating to or connected with employment under section 254C of the Constitution of the Federal Republic of Nigeria 1999 (as amended), provided that the parties shall first attempt to resolve any dispute by mediation under the Arbitration and Mediation Act 2023 within </w:t>
      </w:r>
      <w:commentRangeStart w:id="44"/>
      <w:r>
        <w:rPr>
          <w:b w:val="0"/>
          <w:i w:val="0"/>
          <w:highlight w:val="yellow"/>
        </w:rPr>
        <w:t>[Mediation period (days)]</w:t>
      </w:r>
      <w:commentRangeEnd w:id="44"/>
      <w:r>
        <w:rPr>
          <w:rStyle w:val="CommentReference"/>
        </w:rPr>
        <w:commentReference w:id="44"/>
      </w:r>
      <w:r>
        <w:rPr>
          <w:b w:val="0"/>
          <w:i w:val="0"/>
        </w:rPr>
        <w:t xml:space="preserve"> days of written notice of the dispute.</w:t>
      </w:r>
    </w:p>
    <w:p>
      <w:pPr>
        <w:pStyle w:val="Heading2"/>
      </w:pPr>
      <w:r>
        <w:rPr>
          <w:b w:val="0"/>
          <w:i w:val="0"/>
        </w:rPr>
        <w:t>EXECUTION</w:t>
      </w:r>
    </w:p>
    <w:p>
      <w:r>
        <w:rPr>
          <w:b/>
          <w:i w:val="0"/>
        </w:rPr>
        <w:t>SIGNED</w:t>
      </w:r>
      <w:r>
        <w:rPr>
          <w:b w:val="0"/>
          <w:i w:val="0"/>
        </w:rPr>
        <w:t xml:space="preserve"> for and on behalf of </w:t>
      </w:r>
      <w:r>
        <w:rPr>
          <w:b/>
          <w:i w:val="0"/>
          <w:highlight w:val="yellow"/>
        </w:rPr>
        <w:t>[Company name]</w:t>
      </w:r>
      <w:r>
        <w:rPr>
          <w:b w:val="0"/>
          <w:i w:val="0"/>
        </w:rPr>
        <w:t>:</w:t>
      </w:r>
    </w:p>
    <w:tbl>
      <w:tblPr>
        <w:tblStyle w:val="TableGrid"/>
        <w:tblW w:type="auto" w:w="0"/>
        <w:tblLook w:firstColumn="1" w:firstRow="1" w:lastColumn="0" w:lastRow="0" w:noHBand="0" w:noVBand="1" w:val="04A0"/>
      </w:tblPr>
      <w:tblGrid>
        <w:gridCol w:w="4320"/>
        <w:gridCol w:w="4320"/>
      </w:tblGrid>
      <w:tr>
        <w:tc>
          <w:tcPr>
            <w:tcW w:type="dxa" w:w="4320"/>
          </w:tcPr>
          <w:p>
            <w:r>
              <w:rPr>
                <w:b/>
                <w:i w:val="0"/>
              </w:rPr>
              <w:t>Authorised signatory</w:t>
            </w:r>
          </w:p>
        </w:tc>
        <w:tc>
          <w:tcPr>
            <w:tcW w:type="dxa" w:w="4320"/>
          </w:tcPr>
          <w:p>
            <w:r>
              <w:rPr>
                <w:b/>
                <w:i w:val="0"/>
              </w:rPr>
              <w:t xml:space="preserve">______________________ Name: </w:t>
            </w:r>
            <w:commentRangeStart w:id="45"/>
            <w:r>
              <w:rPr>
                <w:b/>
                <w:i w:val="0"/>
                <w:highlight w:val="yellow"/>
              </w:rPr>
              <w:t>[Company signatory name]</w:t>
            </w:r>
            <w:commentRangeEnd w:id="45"/>
            <w:r>
              <w:rPr>
                <w:rStyle w:val="CommentReference"/>
              </w:rPr>
              <w:commentReference w:id="45"/>
            </w:r>
          </w:p>
        </w:tc>
      </w:tr>
      <w:tr>
        <w:tc>
          <w:tcPr>
            <w:tcW w:type="dxa" w:w="4320"/>
          </w:tcPr>
          <w:p>
            <w:r>
              <w:rPr>
                <w:b w:val="0"/>
                <w:i w:val="0"/>
              </w:rPr>
              <w:t>Title</w:t>
            </w:r>
          </w:p>
        </w:tc>
        <w:tc>
          <w:tcPr>
            <w:tcW w:type="dxa" w:w="4320"/>
          </w:tcPr>
          <w:p>
            <w:commentRangeStart w:id="46"/>
            <w:r>
              <w:rPr>
                <w:b w:val="0"/>
                <w:i w:val="0"/>
                <w:highlight w:val="yellow"/>
              </w:rPr>
              <w:t>[Company signatory title]</w:t>
            </w:r>
            <w:commentRangeEnd w:id="46"/>
            <w:r>
              <w:rPr>
                <w:rStyle w:val="CommentReference"/>
              </w:rPr>
              <w:commentReference w:id="46"/>
            </w:r>
          </w:p>
        </w:tc>
      </w:tr>
      <w:tr>
        <w:tc>
          <w:tcPr>
            <w:tcW w:type="dxa" w:w="4320"/>
          </w:tcPr>
          <w:p>
            <w:r>
              <w:rPr>
                <w:b w:val="0"/>
                <w:i w:val="0"/>
              </w:rPr>
              <w:t>Date</w:t>
            </w:r>
          </w:p>
        </w:tc>
        <w:tc>
          <w:tcPr>
            <w:tcW w:type="dxa" w:w="4320"/>
          </w:tcPr>
          <w:p>
            <w:commentRangeStart w:id="47"/>
            <w:r>
              <w:rPr>
                <w:b w:val="0"/>
                <w:i w:val="0"/>
                <w:highlight w:val="yellow"/>
              </w:rPr>
              <w:t>[Company signing date]</w:t>
            </w:r>
            <w:commentRangeEnd w:id="47"/>
            <w:r>
              <w:rPr>
                <w:rStyle w:val="CommentReference"/>
              </w:rPr>
              <w:commentReference w:id="47"/>
            </w:r>
          </w:p>
        </w:tc>
      </w:tr>
    </w:tbl>
    <w:p>
      <w:r>
        <w:rPr>
          <w:b/>
          <w:i w:val="0"/>
        </w:rPr>
        <w:t>SIGNED</w:t>
      </w:r>
      <w:r>
        <w:rPr>
          <w:b w:val="0"/>
          <w:i w:val="0"/>
        </w:rPr>
        <w:t xml:space="preserve"> by </w:t>
      </w:r>
      <w:r>
        <w:rPr>
          <w:b/>
          <w:i w:val="0"/>
          <w:highlight w:val="yellow"/>
        </w:rPr>
        <w:t>[Executive name]</w:t>
      </w:r>
      <w:r>
        <w:rPr>
          <w:b w:val="0"/>
          <w:i w:val="0"/>
        </w:rPr>
        <w:t>:</w:t>
      </w:r>
    </w:p>
    <w:tbl>
      <w:tblPr>
        <w:tblStyle w:val="TableGrid"/>
        <w:tblW w:type="auto" w:w="0"/>
        <w:tblLook w:firstColumn="1" w:firstRow="1" w:lastColumn="0" w:lastRow="0" w:noHBand="0" w:noVBand="1" w:val="04A0"/>
      </w:tblPr>
      <w:tblGrid>
        <w:gridCol w:w="4320"/>
        <w:gridCol w:w="4320"/>
      </w:tblGrid>
      <w:tr>
        <w:tc>
          <w:tcPr>
            <w:tcW w:type="dxa" w:w="4320"/>
          </w:tcPr>
          <w:p>
            <w:r>
              <w:rPr>
                <w:b/>
                <w:i w:val="0"/>
              </w:rPr>
              <w:t>Signature</w:t>
            </w:r>
          </w:p>
        </w:tc>
        <w:tc>
          <w:tcPr>
            <w:tcW w:type="dxa" w:w="4320"/>
          </w:tcPr>
          <w:p>
            <w:r>
              <w:rPr>
                <w:b/>
                <w:i w:val="0"/>
              </w:rPr>
              <w:t>______________________</w:t>
            </w:r>
          </w:p>
        </w:tc>
      </w:tr>
      <w:tr>
        <w:tc>
          <w:tcPr>
            <w:tcW w:type="dxa" w:w="4320"/>
          </w:tcPr>
          <w:p>
            <w:r>
              <w:rPr>
                <w:b w:val="0"/>
                <w:i w:val="0"/>
              </w:rPr>
              <w:t>Date</w:t>
            </w:r>
          </w:p>
        </w:tc>
        <w:tc>
          <w:tcPr>
            <w:tcW w:type="dxa" w:w="4320"/>
          </w:tcPr>
          <w:p>
            <w:commentRangeStart w:id="48"/>
            <w:r>
              <w:rPr>
                <w:b w:val="0"/>
                <w:i w:val="0"/>
                <w:highlight w:val="yellow"/>
              </w:rPr>
              <w:t>[Executive signing date]</w:t>
            </w:r>
            <w:commentRangeEnd w:id="48"/>
            <w:r>
              <w:rPr>
                <w:rStyle w:val="CommentReference"/>
              </w:rPr>
              <w:commentReference w:id="48"/>
            </w:r>
          </w:p>
        </w:tc>
      </w:tr>
    </w:tbl>
    <w:p>
      <w:r>
        <w:rPr>
          <w:b/>
          <w:i w:val="0"/>
        </w:rPr>
        <w:t>WITNESS</w:t>
      </w:r>
      <w:r>
        <w:rPr>
          <w:b w:val="0"/>
          <w:i w:val="0"/>
        </w:rPr>
        <w:t xml:space="preserve"> to the Executive's signature:</w:t>
      </w:r>
    </w:p>
    <w:tbl>
      <w:tblPr>
        <w:tblStyle w:val="TableGrid"/>
        <w:tblW w:type="auto" w:w="0"/>
        <w:tblLook w:firstColumn="1" w:firstRow="1" w:lastColumn="0" w:lastRow="0" w:noHBand="0" w:noVBand="1" w:val="04A0"/>
      </w:tblPr>
      <w:tblGrid>
        <w:gridCol w:w="4320"/>
        <w:gridCol w:w="4320"/>
      </w:tblGrid>
      <w:tr>
        <w:tc>
          <w:tcPr>
            <w:tcW w:type="dxa" w:w="4320"/>
          </w:tcPr>
          <w:p>
            <w:r>
              <w:rPr>
                <w:b/>
                <w:i w:val="0"/>
              </w:rPr>
              <w:t>Signature</w:t>
            </w:r>
          </w:p>
        </w:tc>
        <w:tc>
          <w:tcPr>
            <w:tcW w:type="dxa" w:w="4320"/>
          </w:tcPr>
          <w:p>
            <w:r>
              <w:rPr>
                <w:b/>
                <w:i w:val="0"/>
              </w:rPr>
              <w:t>______________________</w:t>
            </w:r>
          </w:p>
        </w:tc>
      </w:tr>
      <w:tr>
        <w:tc>
          <w:tcPr>
            <w:tcW w:type="dxa" w:w="4320"/>
          </w:tcPr>
          <w:p>
            <w:r>
              <w:rPr>
                <w:b w:val="0"/>
                <w:i w:val="0"/>
              </w:rPr>
              <w:t>Name</w:t>
            </w:r>
          </w:p>
        </w:tc>
        <w:tc>
          <w:tcPr>
            <w:tcW w:type="dxa" w:w="4320"/>
          </w:tcPr>
          <w:p>
            <w:commentRangeStart w:id="49"/>
            <w:r>
              <w:rPr>
                <w:b w:val="0"/>
                <w:i w:val="0"/>
                <w:highlight w:val="yellow"/>
              </w:rPr>
              <w:t>[Witness name]</w:t>
            </w:r>
            <w:commentRangeEnd w:id="49"/>
            <w:r>
              <w:rPr>
                <w:rStyle w:val="CommentReference"/>
              </w:rPr>
              <w:commentReference w:id="49"/>
            </w:r>
          </w:p>
        </w:tc>
      </w:tr>
      <w:tr>
        <w:tc>
          <w:tcPr>
            <w:tcW w:type="dxa" w:w="4320"/>
          </w:tcPr>
          <w:p>
            <w:r>
              <w:rPr>
                <w:b w:val="0"/>
                <w:i w:val="0"/>
              </w:rPr>
              <w:t>Address</w:t>
            </w:r>
          </w:p>
        </w:tc>
        <w:tc>
          <w:tcPr>
            <w:tcW w:type="dxa" w:w="4320"/>
          </w:tcPr>
          <w:p>
            <w:commentRangeStart w:id="50"/>
            <w:r>
              <w:rPr>
                <w:b w:val="0"/>
                <w:i w:val="0"/>
                <w:highlight w:val="yellow"/>
              </w:rPr>
              <w:t>[Witness address]</w:t>
            </w:r>
            <w:commentRangeEnd w:id="50"/>
            <w:r>
              <w:rPr>
                <w:rStyle w:val="CommentReference"/>
              </w:rPr>
              <w:commentReference w:id="50"/>
            </w:r>
          </w:p>
        </w:tc>
      </w:tr>
      <w:tr>
        <w:tc>
          <w:tcPr>
            <w:tcW w:type="dxa" w:w="4320"/>
          </w:tcPr>
          <w:p>
            <w:r>
              <w:rPr>
                <w:b w:val="0"/>
                <w:i w:val="0"/>
              </w:rPr>
              <w:t>Occupation</w:t>
            </w:r>
          </w:p>
        </w:tc>
        <w:tc>
          <w:tcPr>
            <w:tcW w:type="dxa" w:w="4320"/>
          </w:tcPr>
          <w:p>
            <w:commentRangeStart w:id="51"/>
            <w:r>
              <w:rPr>
                <w:b w:val="0"/>
                <w:i w:val="0"/>
                <w:highlight w:val="yellow"/>
              </w:rPr>
              <w:t>[Witness occupation]</w:t>
            </w:r>
            <w:commentRangeEnd w:id="51"/>
            <w:r>
              <w:rPr>
                <w:rStyle w:val="CommentReference"/>
              </w:rPr>
              <w:commentReference w:id="51"/>
            </w:r>
          </w:p>
        </w:tc>
      </w:tr>
    </w:tbl>
    <w:sectPr w:rsidR="00FC693F" w:rsidRPr="0006063C" w:rsidSect="00034616">
      <w:footerReference w:type="default" r:id="rId10"/>
      <w:pgSz w:w="12240" w:h="15840"/>
      <w:pgMar w:top="1440" w:right="1800" w:bottom="1440" w:left="1800"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LexCore" w:initials="LC" w:date="2026-09-27T22:01:48Z">
    <w:p>
      <w:pPr>
        <w:pStyle w:val="CommentText"/>
      </w:pPr>
      <w:r>
        <w:rPr>
          <w:rStyle w:val="CommentReference"/>
        </w:rPr>
        <w:annotationRef/>
      </w:r>
      <w:r>
        <w:t>Reviewed by Odebode Toluwalase, a Nigerian lawyer, on 9 September 2026. The PAYE clause (7.1) was updated on 27 September 2026 to cite the Nigeria Tax Act 2025. This template is a starting point, not legal advice. Check it against the law in force and the facts of your matter before use. Fill in every highlighted field. To review your finished version against your own positions, use LexCore: https://lexcore.ng/demo?utm_source=template&amp;utm_medium=docx&amp;utm_campaign=executive-employment-contract-nigeria</w:t>
      </w:r>
    </w:p>
  </w:comment>
  <w:comment w:id="1" w:author="LexCore" w:initials="LC" w:date="2026-09-27T22:01:48Z">
    <w:p>
      <w:pPr>
        <w:pStyle w:val="CommentText"/>
      </w:pPr>
      <w:r>
        <w:rPr>
          <w:rStyle w:val="CommentReference"/>
        </w:rPr>
        <w:annotationRef/>
      </w:r>
      <w:r>
        <w:t>Fill in: Contract Date.</w:t>
      </w:r>
    </w:p>
  </w:comment>
  <w:comment w:id="2" w:author="LexCore" w:initials="LC" w:date="2026-09-27T22:01:48Z">
    <w:p>
      <w:pPr>
        <w:pStyle w:val="CommentText"/>
      </w:pPr>
      <w:r>
        <w:rPr>
          <w:rStyle w:val="CommentReference"/>
        </w:rPr>
        <w:annotationRef/>
      </w:r>
      <w:r>
        <w:t>Fill in: Company name.</w:t>
      </w:r>
    </w:p>
  </w:comment>
  <w:comment w:id="3" w:author="LexCore" w:initials="LC" w:date="2026-09-27T22:01:48Z">
    <w:p>
      <w:pPr>
        <w:pStyle w:val="CommentText"/>
      </w:pPr>
      <w:r>
        <w:rPr>
          <w:rStyle w:val="CommentReference"/>
        </w:rPr>
        <w:annotationRef/>
      </w:r>
      <w:r>
        <w:t>Fill in: Company RC number.</w:t>
      </w:r>
    </w:p>
  </w:comment>
  <w:comment w:id="4" w:author="LexCore" w:initials="LC" w:date="2026-09-27T22:01:48Z">
    <w:p>
      <w:pPr>
        <w:pStyle w:val="CommentText"/>
      </w:pPr>
      <w:r>
        <w:rPr>
          <w:rStyle w:val="CommentReference"/>
        </w:rPr>
        <w:annotationRef/>
      </w:r>
      <w:r>
        <w:t>Fill in: Company address.</w:t>
      </w:r>
    </w:p>
  </w:comment>
  <w:comment w:id="5" w:author="LexCore" w:initials="LC" w:date="2026-09-27T22:01:48Z">
    <w:p>
      <w:pPr>
        <w:pStyle w:val="CommentText"/>
      </w:pPr>
      <w:r>
        <w:rPr>
          <w:rStyle w:val="CommentReference"/>
        </w:rPr>
        <w:annotationRef/>
      </w:r>
      <w:r>
        <w:t>Fill in: Executive name.</w:t>
      </w:r>
    </w:p>
  </w:comment>
  <w:comment w:id="6" w:author="LexCore" w:initials="LC" w:date="2026-09-27T22:01:48Z">
    <w:p>
      <w:pPr>
        <w:pStyle w:val="CommentText"/>
      </w:pPr>
      <w:r>
        <w:rPr>
          <w:rStyle w:val="CommentReference"/>
        </w:rPr>
        <w:annotationRef/>
      </w:r>
      <w:r>
        <w:t>Fill in: Executive address.</w:t>
      </w:r>
    </w:p>
  </w:comment>
  <w:comment w:id="7" w:author="LexCore" w:initials="LC" w:date="2026-09-27T22:01:48Z">
    <w:p>
      <w:pPr>
        <w:pStyle w:val="CommentText"/>
      </w:pPr>
      <w:r>
        <w:rPr>
          <w:rStyle w:val="CommentReference"/>
        </w:rPr>
        <w:annotationRef/>
      </w:r>
      <w:r>
        <w:t>Fill in: Commencement Date.</w:t>
      </w:r>
    </w:p>
  </w:comment>
  <w:comment w:id="8" w:author="LexCore" w:initials="LC" w:date="2026-09-27T22:01:48Z">
    <w:p>
      <w:pPr>
        <w:pStyle w:val="CommentText"/>
      </w:pPr>
      <w:r>
        <w:rPr>
          <w:rStyle w:val="CommentReference"/>
        </w:rPr>
        <w:annotationRef/>
      </w:r>
      <w:r>
        <w:t>Fill in: Restricted Period (months).</w:t>
      </w:r>
    </w:p>
  </w:comment>
  <w:comment w:id="9" w:author="LexCore" w:initials="LC" w:date="2026-09-27T22:01:48Z">
    <w:p>
      <w:pPr>
        <w:pStyle w:val="CommentText"/>
      </w:pPr>
      <w:r>
        <w:rPr>
          <w:rStyle w:val="CommentReference"/>
        </w:rPr>
        <w:annotationRef/>
      </w:r>
      <w:r>
        <w:t>Fill in: Job title.</w:t>
      </w:r>
    </w:p>
  </w:comment>
  <w:comment w:id="10" w:author="LexCore" w:initials="LC" w:date="2026-09-27T22:01:48Z">
    <w:p>
      <w:pPr>
        <w:pStyle w:val="CommentText"/>
      </w:pPr>
      <w:r>
        <w:rPr>
          <w:rStyle w:val="CommentReference"/>
        </w:rPr>
        <w:annotationRef/>
      </w:r>
      <w:r>
        <w:t>Fill in: Reporting line.</w:t>
      </w:r>
    </w:p>
  </w:comment>
  <w:comment w:id="11" w:author="LexCore" w:initials="LC" w:date="2026-09-27T22:01:48Z">
    <w:p>
      <w:pPr>
        <w:pStyle w:val="CommentText"/>
      </w:pPr>
      <w:r>
        <w:rPr>
          <w:rStyle w:val="CommentReference"/>
        </w:rPr>
        <w:annotationRef/>
      </w:r>
      <w:r>
        <w:t>Fill in: Contract type (indefinite or fixed term).</w:t>
      </w:r>
    </w:p>
  </w:comment>
  <w:comment w:id="12" w:author="LexCore" w:initials="LC" w:date="2026-09-27T22:01:48Z">
    <w:p>
      <w:pPr>
        <w:pStyle w:val="CommentText"/>
      </w:pPr>
      <w:r>
        <w:rPr>
          <w:rStyle w:val="CommentReference"/>
        </w:rPr>
        <w:annotationRef/>
      </w:r>
      <w:r>
        <w:t>Fill in: Fixed term end date.</w:t>
      </w:r>
    </w:p>
  </w:comment>
  <w:comment w:id="13" w:author="LexCore" w:initials="LC" w:date="2026-09-27T22:01:48Z">
    <w:p>
      <w:pPr>
        <w:pStyle w:val="CommentText"/>
      </w:pPr>
      <w:r>
        <w:rPr>
          <w:rStyle w:val="CommentReference"/>
        </w:rPr>
        <w:annotationRef/>
      </w:r>
      <w:r>
        <w:t>Fill in: Probation period (months).</w:t>
      </w:r>
    </w:p>
  </w:comment>
  <w:comment w:id="14" w:author="LexCore" w:initials="LC" w:date="2026-09-27T22:01:48Z">
    <w:p>
      <w:pPr>
        <w:pStyle w:val="CommentText"/>
      </w:pPr>
      <w:r>
        <w:rPr>
          <w:rStyle w:val="CommentReference"/>
        </w:rPr>
        <w:annotationRef/>
      </w:r>
      <w:r>
        <w:t>Fill in: Probation notice (weeks).</w:t>
      </w:r>
    </w:p>
  </w:comment>
  <w:comment w:id="15" w:author="LexCore" w:initials="LC" w:date="2026-09-27T22:01:48Z">
    <w:p>
      <w:pPr>
        <w:pStyle w:val="CommentText"/>
      </w:pPr>
      <w:r>
        <w:rPr>
          <w:rStyle w:val="CommentReference"/>
        </w:rPr>
        <w:annotationRef/>
      </w:r>
      <w:r>
        <w:t>Fill in: Prior continuous service (if any).</w:t>
      </w:r>
    </w:p>
  </w:comment>
  <w:comment w:id="16" w:author="LexCore" w:initials="LC" w:date="2026-09-27T22:01:48Z">
    <w:p>
      <w:pPr>
        <w:pStyle w:val="CommentText"/>
      </w:pPr>
      <w:r>
        <w:rPr>
          <w:rStyle w:val="CommentReference"/>
        </w:rPr>
        <w:annotationRef/>
      </w:r>
      <w:r>
        <w:t>Fill in: Permitted shareholding (%).</w:t>
      </w:r>
    </w:p>
  </w:comment>
  <w:comment w:id="17" w:author="LexCore" w:initials="LC" w:date="2026-09-27T22:01:48Z">
    <w:p>
      <w:pPr>
        <w:pStyle w:val="CommentText"/>
      </w:pPr>
      <w:r>
        <w:rPr>
          <w:rStyle w:val="CommentReference"/>
        </w:rPr>
        <w:annotationRef/>
      </w:r>
      <w:r>
        <w:t>Fill in: Place of work.</w:t>
      </w:r>
    </w:p>
  </w:comment>
  <w:comment w:id="18" w:author="LexCore" w:initials="LC" w:date="2026-09-27T22:01:48Z">
    <w:p>
      <w:pPr>
        <w:pStyle w:val="CommentText"/>
      </w:pPr>
      <w:r>
        <w:rPr>
          <w:rStyle w:val="CommentReference"/>
        </w:rPr>
        <w:annotationRef/>
      </w:r>
      <w:r>
        <w:t>Fill in: Normal working hours.</w:t>
      </w:r>
    </w:p>
  </w:comment>
  <w:comment w:id="19" w:author="LexCore" w:initials="LC" w:date="2026-09-27T22:01:48Z">
    <w:p>
      <w:pPr>
        <w:pStyle w:val="CommentText"/>
      </w:pPr>
      <w:r>
        <w:rPr>
          <w:rStyle w:val="CommentReference"/>
        </w:rPr>
        <w:annotationRef/>
      </w:r>
      <w:r>
        <w:t>Fill in: Base salary (₦ per annum).</w:t>
      </w:r>
    </w:p>
  </w:comment>
  <w:comment w:id="20" w:author="LexCore" w:initials="LC" w:date="2026-09-27T22:01:48Z">
    <w:p>
      <w:pPr>
        <w:pStyle w:val="CommentText"/>
      </w:pPr>
      <w:r>
        <w:rPr>
          <w:rStyle w:val="CommentReference"/>
        </w:rPr>
        <w:annotationRef/>
      </w:r>
      <w:r>
        <w:t>Fill in: Payroll date.</w:t>
      </w:r>
    </w:p>
  </w:comment>
  <w:comment w:id="21" w:author="LexCore" w:initials="LC" w:date="2026-09-27T22:01:48Z">
    <w:p>
      <w:pPr>
        <w:pStyle w:val="CommentText"/>
      </w:pPr>
      <w:r>
        <w:rPr>
          <w:rStyle w:val="CommentReference"/>
        </w:rPr>
        <w:annotationRef/>
      </w:r>
      <w:r>
        <w:t>Fill in: First salary review date.</w:t>
      </w:r>
    </w:p>
  </w:comment>
  <w:comment w:id="22" w:author="LexCore" w:initials="LC" w:date="2026-09-27T22:01:48Z">
    <w:p>
      <w:pPr>
        <w:pStyle w:val="CommentText"/>
      </w:pPr>
      <w:r>
        <w:rPr>
          <w:rStyle w:val="CommentReference"/>
        </w:rPr>
        <w:annotationRef/>
      </w:r>
      <w:r>
        <w:t>Fill in: Bonus scheme name.</w:t>
      </w:r>
    </w:p>
  </w:comment>
  <w:comment w:id="23" w:author="LexCore" w:initials="LC" w:date="2026-09-27T22:01:48Z">
    <w:p>
      <w:pPr>
        <w:pStyle w:val="CommentText"/>
      </w:pPr>
      <w:r>
        <w:rPr>
          <w:rStyle w:val="CommentReference"/>
        </w:rPr>
        <w:annotationRef/>
      </w:r>
      <w:r>
        <w:t>Fill in: Target bonus (% of base salary).</w:t>
      </w:r>
    </w:p>
  </w:comment>
  <w:comment w:id="24" w:author="LexCore" w:initials="LC" w:date="2026-09-27T22:01:48Z">
    <w:p>
      <w:pPr>
        <w:pStyle w:val="CommentText"/>
      </w:pPr>
      <w:r>
        <w:rPr>
          <w:rStyle w:val="CommentReference"/>
        </w:rPr>
        <w:annotationRef/>
      </w:r>
      <w:r>
        <w:t>Fill in: Equity plan (if any).</w:t>
      </w:r>
    </w:p>
  </w:comment>
  <w:comment w:id="25" w:author="LexCore" w:initials="LC" w:date="2026-09-27T22:01:48Z">
    <w:p>
      <w:pPr>
        <w:pStyle w:val="CommentText"/>
      </w:pPr>
      <w:r>
        <w:rPr>
          <w:rStyle w:val="CommentReference"/>
        </w:rPr>
        <w:annotationRef/>
      </w:r>
      <w:r>
        <w:t>Fill in: Pension Fund Administrator.</w:t>
      </w:r>
    </w:p>
  </w:comment>
  <w:comment w:id="26" w:author="LexCore" w:initials="LC" w:date="2026-09-27T22:01:48Z">
    <w:p>
      <w:pPr>
        <w:pStyle w:val="CommentText"/>
      </w:pPr>
      <w:r>
        <w:rPr>
          <w:rStyle w:val="CommentReference"/>
        </w:rPr>
        <w:annotationRef/>
      </w:r>
      <w:r>
        <w:t>Fill in: Dependants covered by medical insurance.</w:t>
      </w:r>
    </w:p>
  </w:comment>
  <w:comment w:id="27" w:author="LexCore" w:initials="LC" w:date="2026-09-27T22:01:48Z">
    <w:p>
      <w:pPr>
        <w:pStyle w:val="CommentText"/>
      </w:pPr>
      <w:r>
        <w:rPr>
          <w:rStyle w:val="CommentReference"/>
        </w:rPr>
        <w:annotationRef/>
      </w:r>
      <w:r>
        <w:t>Fill in: Housing allowance (₦ per annum).</w:t>
      </w:r>
    </w:p>
  </w:comment>
  <w:comment w:id="28" w:author="LexCore" w:initials="LC" w:date="2026-09-27T22:01:48Z">
    <w:p>
      <w:pPr>
        <w:pStyle w:val="CommentText"/>
      </w:pPr>
      <w:r>
        <w:rPr>
          <w:rStyle w:val="CommentReference"/>
        </w:rPr>
        <w:annotationRef/>
      </w:r>
      <w:r>
        <w:t>Fill in: Company accommodation (if any).</w:t>
      </w:r>
    </w:p>
  </w:comment>
  <w:comment w:id="29" w:author="LexCore" w:initials="LC" w:date="2026-09-27T22:01:48Z">
    <w:p>
      <w:pPr>
        <w:pStyle w:val="CommentText"/>
      </w:pPr>
      <w:r>
        <w:rPr>
          <w:rStyle w:val="CommentReference"/>
        </w:rPr>
        <w:annotationRef/>
      </w:r>
      <w:r>
        <w:t>Fill in: Transport allowance (₦ per annum).</w:t>
      </w:r>
    </w:p>
  </w:comment>
  <w:comment w:id="30" w:author="LexCore" w:initials="LC" w:date="2026-09-27T22:01:48Z">
    <w:p>
      <w:pPr>
        <w:pStyle w:val="CommentText"/>
      </w:pPr>
      <w:r>
        <w:rPr>
          <w:rStyle w:val="CommentReference"/>
        </w:rPr>
        <w:annotationRef/>
      </w:r>
      <w:r>
        <w:t>Fill in: Other benefits.</w:t>
      </w:r>
    </w:p>
  </w:comment>
  <w:comment w:id="31" w:author="LexCore" w:initials="LC" w:date="2026-09-27T22:01:48Z">
    <w:p>
      <w:pPr>
        <w:pStyle w:val="CommentText"/>
      </w:pPr>
      <w:r>
        <w:rPr>
          <w:rStyle w:val="CommentReference"/>
        </w:rPr>
        <w:annotationRef/>
      </w:r>
      <w:r>
        <w:t>Fill in: Annual leave (working days).</w:t>
      </w:r>
    </w:p>
  </w:comment>
  <w:comment w:id="32" w:author="LexCore" w:initials="LC" w:date="2026-09-27T22:01:48Z">
    <w:p>
      <w:pPr>
        <w:pStyle w:val="CommentText"/>
      </w:pPr>
      <w:r>
        <w:rPr>
          <w:rStyle w:val="CommentReference"/>
        </w:rPr>
        <w:annotationRef/>
      </w:r>
      <w:r>
        <w:t>Fill in: Leave year start.</w:t>
      </w:r>
    </w:p>
  </w:comment>
  <w:comment w:id="33" w:author="LexCore" w:initials="LC" w:date="2026-09-27T22:01:48Z">
    <w:p>
      <w:pPr>
        <w:pStyle w:val="CommentText"/>
      </w:pPr>
      <w:r>
        <w:rPr>
          <w:rStyle w:val="CommentReference"/>
        </w:rPr>
        <w:annotationRef/>
      </w:r>
      <w:r>
        <w:t>Fill in: Maximum leave carry-over (days).</w:t>
      </w:r>
    </w:p>
  </w:comment>
  <w:comment w:id="34" w:author="LexCore" w:initials="LC" w:date="2026-09-27T22:01:48Z">
    <w:p>
      <w:pPr>
        <w:pStyle w:val="CommentText"/>
      </w:pPr>
      <w:r>
        <w:rPr>
          <w:rStyle w:val="CommentReference"/>
        </w:rPr>
        <w:annotationRef/>
      </w:r>
      <w:r>
        <w:t>Fill in: Paid sick leave (working days per year).</w:t>
      </w:r>
    </w:p>
  </w:comment>
  <w:comment w:id="35" w:author="LexCore" w:initials="LC" w:date="2026-09-27T22:01:48Z">
    <w:p>
      <w:pPr>
        <w:pStyle w:val="CommentText"/>
      </w:pPr>
      <w:r>
        <w:rPr>
          <w:rStyle w:val="CommentReference"/>
        </w:rPr>
        <w:annotationRef/>
      </w:r>
      <w:r>
        <w:t>Fill in: Paternity leave (working days).</w:t>
      </w:r>
    </w:p>
  </w:comment>
  <w:comment w:id="36" w:author="LexCore" w:initials="LC" w:date="2026-09-27T22:01:48Z">
    <w:p>
      <w:pPr>
        <w:pStyle w:val="CommentText"/>
      </w:pPr>
      <w:r>
        <w:rPr>
          <w:rStyle w:val="CommentReference"/>
        </w:rPr>
        <w:annotationRef/>
      </w:r>
      <w:r>
        <w:t>Fill in: Data Protection Officer contact.</w:t>
      </w:r>
    </w:p>
  </w:comment>
  <w:comment w:id="37" w:author="LexCore" w:initials="LC" w:date="2026-09-27T22:01:49Z">
    <w:p>
      <w:pPr>
        <w:pStyle w:val="CommentText"/>
      </w:pPr>
      <w:r>
        <w:rPr>
          <w:rStyle w:val="CommentReference"/>
        </w:rPr>
        <w:annotationRef/>
      </w:r>
      <w:r>
        <w:t>Fill in: Notice period (months).</w:t>
      </w:r>
    </w:p>
  </w:comment>
  <w:comment w:id="38" w:author="LexCore" w:initials="LC" w:date="2026-09-27T22:01:49Z">
    <w:p>
      <w:pPr>
        <w:pStyle w:val="CommentText"/>
      </w:pPr>
      <w:r>
        <w:rPr>
          <w:rStyle w:val="CommentReference"/>
        </w:rPr>
        <w:annotationRef/>
      </w:r>
      <w:r>
        <w:t>Fill in: Early termination cap (months).</w:t>
      </w:r>
    </w:p>
  </w:comment>
  <w:comment w:id="39" w:author="LexCore" w:initials="LC" w:date="2026-09-27T22:01:49Z">
    <w:p>
      <w:pPr>
        <w:pStyle w:val="CommentText"/>
      </w:pPr>
      <w:r>
        <w:rPr>
          <w:rStyle w:val="CommentReference"/>
        </w:rPr>
        <w:annotationRef/>
      </w:r>
      <w:r>
        <w:t>Fill in: Redundancy formula.</w:t>
      </w:r>
    </w:p>
  </w:comment>
  <w:comment w:id="40" w:author="LexCore" w:initials="LC" w:date="2026-09-27T22:01:49Z">
    <w:p>
      <w:pPr>
        <w:pStyle w:val="CommentText"/>
      </w:pPr>
      <w:r>
        <w:rPr>
          <w:rStyle w:val="CommentReference"/>
        </w:rPr>
        <w:annotationRef/>
      </w:r>
      <w:r>
        <w:t>Fill in: Non-compete territory.</w:t>
      </w:r>
    </w:p>
  </w:comment>
  <w:comment w:id="41" w:author="LexCore" w:initials="LC" w:date="2026-09-27T22:01:49Z">
    <w:p>
      <w:pPr>
        <w:pStyle w:val="CommentText"/>
      </w:pPr>
      <w:r>
        <w:rPr>
          <w:rStyle w:val="CommentReference"/>
        </w:rPr>
        <w:annotationRef/>
      </w:r>
      <w:r>
        <w:t>Fill in: Grievance recipient.</w:t>
      </w:r>
    </w:p>
  </w:comment>
  <w:comment w:id="42" w:author="LexCore" w:initials="LC" w:date="2026-09-27T22:01:49Z">
    <w:p>
      <w:pPr>
        <w:pStyle w:val="CommentText"/>
      </w:pPr>
      <w:r>
        <w:rPr>
          <w:rStyle w:val="CommentReference"/>
        </w:rPr>
        <w:annotationRef/>
      </w:r>
      <w:r>
        <w:t>Fill in: Company notice email.</w:t>
      </w:r>
    </w:p>
  </w:comment>
  <w:comment w:id="43" w:author="LexCore" w:initials="LC" w:date="2026-09-27T22:01:49Z">
    <w:p>
      <w:pPr>
        <w:pStyle w:val="CommentText"/>
      </w:pPr>
      <w:r>
        <w:rPr>
          <w:rStyle w:val="CommentReference"/>
        </w:rPr>
        <w:annotationRef/>
      </w:r>
      <w:r>
        <w:t>Fill in: Executive email.</w:t>
      </w:r>
    </w:p>
  </w:comment>
  <w:comment w:id="44" w:author="LexCore" w:initials="LC" w:date="2026-09-27T22:01:49Z">
    <w:p>
      <w:pPr>
        <w:pStyle w:val="CommentText"/>
      </w:pPr>
      <w:r>
        <w:rPr>
          <w:rStyle w:val="CommentReference"/>
        </w:rPr>
        <w:annotationRef/>
      </w:r>
      <w:r>
        <w:t>Fill in: Mediation period (days).</w:t>
      </w:r>
    </w:p>
  </w:comment>
  <w:comment w:id="45" w:author="LexCore" w:initials="LC" w:date="2026-09-27T22:01:49Z">
    <w:p>
      <w:pPr>
        <w:pStyle w:val="CommentText"/>
      </w:pPr>
      <w:r>
        <w:rPr>
          <w:rStyle w:val="CommentReference"/>
        </w:rPr>
        <w:annotationRef/>
      </w:r>
      <w:r>
        <w:t>Fill in: Company signatory name.</w:t>
      </w:r>
    </w:p>
  </w:comment>
  <w:comment w:id="46" w:author="LexCore" w:initials="LC" w:date="2026-09-27T22:01:49Z">
    <w:p>
      <w:pPr>
        <w:pStyle w:val="CommentText"/>
      </w:pPr>
      <w:r>
        <w:rPr>
          <w:rStyle w:val="CommentReference"/>
        </w:rPr>
        <w:annotationRef/>
      </w:r>
      <w:r>
        <w:t>Fill in: Company signatory title.</w:t>
      </w:r>
    </w:p>
  </w:comment>
  <w:comment w:id="47" w:author="LexCore" w:initials="LC" w:date="2026-09-27T22:01:49Z">
    <w:p>
      <w:pPr>
        <w:pStyle w:val="CommentText"/>
      </w:pPr>
      <w:r>
        <w:rPr>
          <w:rStyle w:val="CommentReference"/>
        </w:rPr>
        <w:annotationRef/>
      </w:r>
      <w:r>
        <w:t>Fill in: Company signing date.</w:t>
      </w:r>
    </w:p>
  </w:comment>
  <w:comment w:id="48" w:author="LexCore" w:initials="LC" w:date="2026-09-27T22:01:49Z">
    <w:p>
      <w:pPr>
        <w:pStyle w:val="CommentText"/>
      </w:pPr>
      <w:r>
        <w:rPr>
          <w:rStyle w:val="CommentReference"/>
        </w:rPr>
        <w:annotationRef/>
      </w:r>
      <w:r>
        <w:t>Fill in: Executive signing date.</w:t>
      </w:r>
    </w:p>
  </w:comment>
  <w:comment w:id="49" w:author="LexCore" w:initials="LC" w:date="2026-09-27T22:01:49Z">
    <w:p>
      <w:pPr>
        <w:pStyle w:val="CommentText"/>
      </w:pPr>
      <w:r>
        <w:rPr>
          <w:rStyle w:val="CommentReference"/>
        </w:rPr>
        <w:annotationRef/>
      </w:r>
      <w:r>
        <w:t>Fill in: Witness name.</w:t>
      </w:r>
    </w:p>
  </w:comment>
  <w:comment w:id="50" w:author="LexCore" w:initials="LC" w:date="2026-09-27T22:01:49Z">
    <w:p>
      <w:pPr>
        <w:pStyle w:val="CommentText"/>
      </w:pPr>
      <w:r>
        <w:rPr>
          <w:rStyle w:val="CommentReference"/>
        </w:rPr>
        <w:annotationRef/>
      </w:r>
      <w:r>
        <w:t>Fill in: Witness address.</w:t>
      </w:r>
    </w:p>
  </w:comment>
  <w:comment w:id="51" w:author="LexCore" w:initials="LC" w:date="2026-09-27T22:01:49Z">
    <w:p>
      <w:pPr>
        <w:pStyle w:val="CommentText"/>
      </w:pPr>
      <w:r>
        <w:rPr>
          <w:rStyle w:val="CommentReference"/>
        </w:rPr>
        <w:annotationRef/>
      </w:r>
      <w:r>
        <w:t>Fill in: Witness occupation.</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Executive Employment Contract (Nigeria). Free template from lexcore.ng. Reviewed by Odebode Toluwalase, a Nigerian lawyer, on 9 September 2026. The PAYE clause (7.1) was updated on 27 September 2026 to cite the Nigeria Tax Act 2025.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Employment Contract (Nigeria)</dc:title>
  <dc:subject/>
  <dc:creator>LexCore</dc:creator>
  <cp:keywords/>
  <dc:description>generated by python-docx</dc:description>
  <cp:lastModifiedBy/>
  <cp:revision>1</cp:revision>
  <dcterms:created xsi:type="dcterms:W3CDTF">2013-12-23T23:15:00Z</dcterms:created>
  <dcterms:modified xsi:type="dcterms:W3CDTF">2013-12-23T23:15:00Z</dcterms:modified>
  <cp:category/>
</cp:coreProperties>
</file>