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commentRangeStart w:id="0"/>
      <w:commentRangeStart w:id="1"/>
      <w:r>
        <w:rPr>
          <w:b w:val="0"/>
          <w:i w:val="0"/>
          <w:highlight w:val="yellow"/>
        </w:rPr>
        <w:t>[Firm name]</w:t>
      </w:r>
      <w:commentRangeEnd w:id="1"/>
      <w:r>
        <w:rPr>
          <w:rStyle w:val="CommentReference"/>
        </w:rPr>
        <w:commentReference w:id="1"/>
      </w:r>
      <w:commentRangeEnd w:id="0"/>
      <w:r>
        <w:rPr>
          <w:rStyle w:val="CommentReference"/>
        </w:rPr>
        <w:commentReference w:id="0"/>
      </w:r>
    </w:p>
    <w:p>
      <w:r>
        <w:rPr>
          <w:b/>
          <w:i w:val="0"/>
        </w:rPr>
        <w:t>Legal Practitioners</w:t>
      </w:r>
    </w:p>
    <w:p>
      <w:commentRangeStart w:id="2"/>
      <w:r>
        <w:rPr>
          <w:b w:val="0"/>
          <w:i w:val="0"/>
          <w:highlight w:val="yellow"/>
        </w:rPr>
        <w:t>[Firm address]</w:t>
      </w:r>
      <w:commentRangeEnd w:id="2"/>
      <w:r>
        <w:rPr>
          <w:rStyle w:val="CommentReference"/>
        </w:rPr>
        <w:commentReference w:id="2"/>
      </w:r>
      <w:r>
        <w:rPr>
          <w:b w:val="0"/>
          <w:i w:val="0"/>
        </w:rPr>
        <w:t xml:space="preserve"> | </w:t>
      </w:r>
      <w:commentRangeStart w:id="3"/>
      <w:r>
        <w:rPr>
          <w:b w:val="0"/>
          <w:i w:val="0"/>
          <w:highlight w:val="yellow"/>
        </w:rPr>
        <w:t>[Firm telephone]</w:t>
      </w:r>
      <w:commentRangeEnd w:id="3"/>
      <w:r>
        <w:rPr>
          <w:rStyle w:val="CommentReference"/>
        </w:rPr>
        <w:commentReference w:id="3"/>
      </w:r>
      <w:r>
        <w:rPr>
          <w:b w:val="0"/>
          <w:i w:val="0"/>
        </w:rPr>
        <w:t xml:space="preserve"> | </w:t>
      </w:r>
      <w:commentRangeStart w:id="4"/>
      <w:r>
        <w:rPr>
          <w:b w:val="0"/>
          <w:i w:val="0"/>
          <w:highlight w:val="yellow"/>
        </w:rPr>
        <w:t>[Firm email]</w:t>
      </w:r>
      <w:commentRangeEnd w:id="4"/>
      <w:r>
        <w:rPr>
          <w:rStyle w:val="CommentReference"/>
        </w:rPr>
        <w:commentReference w:id="4"/>
      </w:r>
    </w:p>
    <w:p>
      <w:r>
        <w:rPr>
          <w:b w:val="0"/>
          <w:i w:val="0"/>
        </w:rPr>
        <w:t xml:space="preserve">Our ref: </w:t>
      </w:r>
      <w:commentRangeStart w:id="5"/>
      <w:r>
        <w:rPr>
          <w:b w:val="0"/>
          <w:i w:val="0"/>
          <w:highlight w:val="yellow"/>
        </w:rPr>
        <w:t>[Firm reference]</w:t>
      </w:r>
      <w:commentRangeEnd w:id="5"/>
      <w:r>
        <w:rPr>
          <w:rStyle w:val="CommentReference"/>
        </w:rPr>
        <w:commentReference w:id="5"/>
      </w:r>
    </w:p>
    <w:p>
      <w:r>
        <w:rPr>
          <w:b w:val="0"/>
          <w:i w:val="0"/>
        </w:rPr>
        <w:t xml:space="preserve">Date: </w:t>
      </w:r>
      <w:commentRangeStart w:id="6"/>
      <w:r>
        <w:rPr>
          <w:b w:val="0"/>
          <w:i w:val="0"/>
          <w:highlight w:val="yellow"/>
        </w:rPr>
        <w:t>[Letter date]</w:t>
      </w:r>
      <w:commentRangeEnd w:id="6"/>
      <w:r>
        <w:rPr>
          <w:rStyle w:val="CommentReference"/>
        </w:rPr>
        <w:commentReference w:id="6"/>
      </w:r>
    </w:p>
    <w:p>
      <w:commentRangeStart w:id="7"/>
      <w:r>
        <w:rPr>
          <w:b/>
          <w:i w:val="0"/>
          <w:highlight w:val="yellow"/>
        </w:rPr>
        <w:t>[Client name]</w:t>
      </w:r>
      <w:commentRangeEnd w:id="7"/>
      <w:r>
        <w:rPr>
          <w:rStyle w:val="CommentReference"/>
        </w:rPr>
        <w:commentReference w:id="7"/>
      </w:r>
    </w:p>
    <w:p>
      <w:commentRangeStart w:id="8"/>
      <w:r>
        <w:rPr>
          <w:b w:val="0"/>
          <w:i w:val="0"/>
          <w:highlight w:val="yellow"/>
        </w:rPr>
        <w:t>[Client address]</w:t>
      </w:r>
      <w:commentRangeEnd w:id="8"/>
      <w:r>
        <w:rPr>
          <w:rStyle w:val="CommentReference"/>
        </w:rPr>
        <w:commentReference w:id="8"/>
      </w:r>
    </w:p>
    <w:p>
      <w:r>
        <w:rPr>
          <w:b w:val="0"/>
          <w:i w:val="0"/>
        </w:rPr>
        <w:t xml:space="preserve">Attention: </w:t>
      </w:r>
      <w:commentRangeStart w:id="9"/>
      <w:r>
        <w:rPr>
          <w:b w:val="0"/>
          <w:i w:val="0"/>
          <w:highlight w:val="yellow"/>
        </w:rPr>
        <w:t>[Client contact name]</w:t>
      </w:r>
      <w:commentRangeEnd w:id="9"/>
      <w:r>
        <w:rPr>
          <w:rStyle w:val="CommentReference"/>
        </w:rPr>
        <w:commentReference w:id="9"/>
      </w:r>
      <w:r>
        <w:rPr>
          <w:b w:val="0"/>
          <w:i w:val="0"/>
        </w:rPr>
        <w:t xml:space="preserve">, </w:t>
      </w:r>
      <w:commentRangeStart w:id="10"/>
      <w:r>
        <w:rPr>
          <w:b w:val="0"/>
          <w:i w:val="0"/>
          <w:highlight w:val="yellow"/>
        </w:rPr>
        <w:t>[Client contact title]</w:t>
      </w:r>
      <w:commentRangeEnd w:id="10"/>
      <w:r>
        <w:rPr>
          <w:rStyle w:val="CommentReference"/>
        </w:rPr>
        <w:commentReference w:id="10"/>
      </w:r>
    </w:p>
    <w:p>
      <w:r>
        <w:rPr>
          <w:b w:val="0"/>
          <w:i w:val="0"/>
        </w:rPr>
        <w:t xml:space="preserve">Dear </w:t>
      </w:r>
      <w:commentRangeStart w:id="11"/>
      <w:r>
        <w:rPr>
          <w:b w:val="0"/>
          <w:i w:val="0"/>
          <w:highlight w:val="yellow"/>
        </w:rPr>
        <w:t>[Client salutation]</w:t>
      </w:r>
      <w:commentRangeEnd w:id="11"/>
      <w:r>
        <w:rPr>
          <w:rStyle w:val="CommentReference"/>
        </w:rPr>
        <w:commentReference w:id="11"/>
      </w:r>
      <w:r>
        <w:rPr>
          <w:b w:val="0"/>
          <w:i w:val="0"/>
        </w:rPr>
        <w:t>,</w:t>
      </w:r>
    </w:p>
    <w:p>
      <w:pPr>
        <w:pStyle w:val="Heading1"/>
      </w:pPr>
      <w:r>
        <w:rPr>
          <w:b w:val="0"/>
          <w:i w:val="0"/>
        </w:rPr>
        <w:t xml:space="preserve">ENGAGEMENT LETTER AND TERMS OF BUSINESS: </w:t>
      </w:r>
      <w:commentRangeStart w:id="12"/>
      <w:r>
        <w:rPr>
          <w:b w:val="0"/>
          <w:i w:val="0"/>
          <w:highlight w:val="yellow"/>
        </w:rPr>
        <w:t>[Matter description]</w:t>
      </w:r>
      <w:commentRangeEnd w:id="12"/>
      <w:r>
        <w:rPr>
          <w:rStyle w:val="CommentReference"/>
        </w:rPr>
        <w:commentReference w:id="12"/>
      </w:r>
    </w:p>
    <w:p>
      <w:r>
        <w:rPr>
          <w:b w:val="0"/>
          <w:i w:val="0"/>
        </w:rPr>
        <w:t xml:space="preserve">Thank you for instructing </w:t>
      </w:r>
      <w:r>
        <w:rPr>
          <w:b w:val="0"/>
          <w:i w:val="0"/>
          <w:highlight w:val="yellow"/>
        </w:rPr>
        <w:t>[Firm name]</w:t>
      </w:r>
      <w:r>
        <w:rPr>
          <w:b w:val="0"/>
          <w:i w:val="0"/>
        </w:rPr>
        <w:t xml:space="preserve"> (the "</w:t>
      </w:r>
      <w:r>
        <w:rPr>
          <w:b/>
          <w:i w:val="0"/>
        </w:rPr>
        <w:t>Firm</w:t>
      </w:r>
      <w:r>
        <w:rPr>
          <w:b w:val="0"/>
          <w:i w:val="0"/>
        </w:rPr>
        <w:t>", "</w:t>
      </w:r>
      <w:r>
        <w:rPr>
          <w:b/>
          <w:i w:val="0"/>
        </w:rPr>
        <w:t>we</w:t>
      </w:r>
      <w:r>
        <w:rPr>
          <w:b w:val="0"/>
          <w:i w:val="0"/>
        </w:rPr>
        <w:t>", "</w:t>
      </w:r>
      <w:r>
        <w:rPr>
          <w:b/>
          <w:i w:val="0"/>
        </w:rPr>
        <w:t>us</w:t>
      </w:r>
      <w:r>
        <w:rPr>
          <w:b w:val="0"/>
          <w:i w:val="0"/>
        </w:rPr>
        <w:t>"). This letter and the attached Terms of Business (together, the "</w:t>
      </w:r>
      <w:r>
        <w:rPr>
          <w:b/>
          <w:i w:val="0"/>
        </w:rPr>
        <w:t>Engagement Letter</w:t>
      </w:r>
      <w:r>
        <w:rPr>
          <w:b w:val="0"/>
          <w:i w:val="0"/>
        </w:rPr>
        <w:t xml:space="preserve">") set out the basis on which we will act for </w:t>
      </w:r>
      <w:r>
        <w:rPr>
          <w:b w:val="0"/>
          <w:i w:val="0"/>
          <w:highlight w:val="yellow"/>
        </w:rPr>
        <w:t>[Client name]</w:t>
      </w:r>
      <w:r>
        <w:rPr>
          <w:b w:val="0"/>
          <w:i w:val="0"/>
        </w:rPr>
        <w:t xml:space="preserve"> (the "</w:t>
      </w:r>
      <w:r>
        <w:rPr>
          <w:b/>
          <w:i w:val="0"/>
        </w:rPr>
        <w:t>Client</w:t>
      </w:r>
      <w:r>
        <w:rPr>
          <w:b w:val="0"/>
          <w:i w:val="0"/>
        </w:rPr>
        <w:t>", "</w:t>
      </w:r>
      <w:r>
        <w:rPr>
          <w:b/>
          <w:i w:val="0"/>
        </w:rPr>
        <w:t>you</w:t>
      </w:r>
      <w:r>
        <w:rPr>
          <w:b w:val="0"/>
          <w:i w:val="0"/>
        </w:rPr>
        <w:t>") in the matter described below. Please read them carefully, sign the acceptance at the end, and return a copy to us. If we do not receive the signed copy but you continue to instruct us, you will be taken to have accepted these terms.</w:t>
      </w:r>
    </w:p>
    <w:p>
      <w:pPr>
        <w:pStyle w:val="Heading2"/>
      </w:pPr>
      <w:r>
        <w:rPr>
          <w:b w:val="0"/>
          <w:i w:val="0"/>
        </w:rPr>
        <w:t>1. SCOPE OF ENGAGEMENT</w:t>
      </w:r>
    </w:p>
    <w:p>
      <w:r>
        <w:rPr>
          <w:b w:val="0"/>
          <w:i w:val="0"/>
        </w:rPr>
        <w:t xml:space="preserve">1.1 We are instructed to: </w:t>
      </w:r>
      <w:commentRangeStart w:id="13"/>
      <w:r>
        <w:rPr>
          <w:b w:val="0"/>
          <w:i w:val="0"/>
          <w:highlight w:val="yellow"/>
        </w:rPr>
        <w:t>[Scope of work]</w:t>
      </w:r>
      <w:commentRangeEnd w:id="13"/>
      <w:r>
        <w:rPr>
          <w:rStyle w:val="CommentReference"/>
        </w:rPr>
        <w:commentReference w:id="13"/>
      </w:r>
      <w:r>
        <w:rPr>
          <w:b w:val="0"/>
          <w:i w:val="0"/>
        </w:rPr>
        <w:t xml:space="preserve"> (the "</w:t>
      </w:r>
      <w:r>
        <w:rPr>
          <w:b/>
          <w:i w:val="0"/>
        </w:rPr>
        <w:t>Matter</w:t>
      </w:r>
      <w:r>
        <w:rPr>
          <w:b w:val="0"/>
          <w:i w:val="0"/>
        </w:rPr>
        <w:t>").</w:t>
      </w:r>
    </w:p>
    <w:p>
      <w:r>
        <w:rPr>
          <w:b w:val="0"/>
          <w:i w:val="0"/>
        </w:rPr>
        <w:t xml:space="preserve">1.2 Our engagement is limited to the Matter. Unless we agree otherwise in writing, it does not include: (a) advice on tax, accounting, actuarial, regulatory or business matters beyond what is expressly stated; (b) advice on the laws of any jurisdiction other than Nigeria; (c) monitoring changes in law after completion of the Matter, or reminding you of deadlines (including limitation periods and renewal dates) arising after our engagement ends; or (d) any other matter, whether or not related to the Matter, on which you may from time to time consult us informally. </w:t>
      </w:r>
      <w:commentRangeStart w:id="14"/>
      <w:r>
        <w:rPr>
          <w:b w:val="0"/>
          <w:i w:val="0"/>
          <w:highlight w:val="yellow"/>
        </w:rPr>
        <w:t>[Specific exclusions]</w:t>
      </w:r>
      <w:commentRangeEnd w:id="14"/>
      <w:r>
        <w:rPr>
          <w:rStyle w:val="CommentReference"/>
        </w:rPr>
        <w:commentReference w:id="14"/>
      </w:r>
      <w:r>
        <w:rPr>
          <w:b w:val="0"/>
          <w:i w:val="0"/>
        </w:rPr>
        <w:t>.</w:t>
      </w:r>
    </w:p>
    <w:p>
      <w:r>
        <w:rPr>
          <w:b w:val="0"/>
          <w:i w:val="0"/>
        </w:rPr>
        <w:t>1.3 Any expansion of scope must be agreed in writing and may be subject to a revised fee estimate.</w:t>
      </w:r>
    </w:p>
    <w:p>
      <w:pPr>
        <w:pStyle w:val="Heading2"/>
      </w:pPr>
      <w:r>
        <w:rPr>
          <w:b w:val="0"/>
          <w:i w:val="0"/>
        </w:rPr>
        <w:t>2. OUR TEAM AND RESPONSIBILITY</w:t>
      </w:r>
    </w:p>
    <w:p>
      <w:r>
        <w:rPr>
          <w:b w:val="0"/>
          <w:i w:val="0"/>
        </w:rPr>
        <w:t xml:space="preserve">2.1 </w:t>
      </w:r>
      <w:commentRangeStart w:id="15"/>
      <w:r>
        <w:rPr>
          <w:b w:val="0"/>
          <w:i w:val="0"/>
          <w:highlight w:val="yellow"/>
        </w:rPr>
        <w:t>[Supervising partner name]</w:t>
      </w:r>
      <w:commentRangeEnd w:id="15"/>
      <w:r>
        <w:rPr>
          <w:rStyle w:val="CommentReference"/>
        </w:rPr>
        <w:commentReference w:id="15"/>
      </w:r>
      <w:r>
        <w:rPr>
          <w:b w:val="0"/>
          <w:i w:val="0"/>
        </w:rPr>
        <w:t xml:space="preserve"> is the partner responsible for the Matter and for the overall quality of our service. </w:t>
      </w:r>
      <w:commentRangeStart w:id="16"/>
      <w:r>
        <w:rPr>
          <w:b w:val="0"/>
          <w:i w:val="0"/>
          <w:highlight w:val="yellow"/>
        </w:rPr>
        <w:t>[Day-to-day lawyer name]</w:t>
      </w:r>
      <w:commentRangeEnd w:id="16"/>
      <w:r>
        <w:rPr>
          <w:rStyle w:val="CommentReference"/>
        </w:rPr>
        <w:commentReference w:id="16"/>
      </w:r>
      <w:r>
        <w:rPr>
          <w:b w:val="0"/>
          <w:i w:val="0"/>
        </w:rPr>
        <w:t xml:space="preserve"> will handle the Matter day to day. We may involve other lawyers and paralegals as the Matter requires, and will inform you of any change to the principal lawyers.</w:t>
      </w:r>
    </w:p>
    <w:p>
      <w:r>
        <w:rPr>
          <w:b w:val="0"/>
          <w:i w:val="0"/>
        </w:rPr>
        <w:t>2.2 Every lawyer acting on the Matter is a legal practitioner enrolled at the Supreme Court of Nigeria under the Legal Practitioners Act and holds a current practising licence.</w:t>
      </w:r>
    </w:p>
    <w:p>
      <w:pPr>
        <w:pStyle w:val="Heading2"/>
      </w:pPr>
      <w:r>
        <w:rPr>
          <w:b w:val="0"/>
          <w:i w:val="0"/>
        </w:rPr>
        <w:t>3. CONFLICTS OF INTEREST</w:t>
      </w:r>
    </w:p>
    <w:p>
      <w:r>
        <w:rPr>
          <w:b w:val="0"/>
          <w:i w:val="0"/>
        </w:rPr>
        <w:t>3.1 We have carried out a conflict check on the parties identified to us and have identified no conflict that prevents us from acting. If a conflict arises during the Matter, we will inform you promptly and may have to cease acting in accordance with the Rules of Professional Conduct for Legal Practitioners 2023 (and, to the extent they remain operative, the corresponding provisions of the Rules of Professional Conduct 2007) (the "</w:t>
      </w:r>
      <w:r>
        <w:rPr>
          <w:b/>
          <w:i w:val="0"/>
        </w:rPr>
        <w:t>RPC</w:t>
      </w:r>
      <w:r>
        <w:rPr>
          <w:b w:val="0"/>
          <w:i w:val="0"/>
        </w:rPr>
        <w:t xml:space="preserve">"). </w:t>
      </w:r>
      <w:commentRangeStart w:id="17"/>
      <w:r>
        <w:rPr>
          <w:b w:val="0"/>
          <w:i w:val="0"/>
          <w:highlight w:val="yellow"/>
        </w:rPr>
        <w:t>[Conflict disclosure and consent (or "None")]</w:t>
      </w:r>
      <w:commentRangeEnd w:id="17"/>
      <w:r>
        <w:rPr>
          <w:rStyle w:val="CommentReference"/>
        </w:rPr>
        <w:commentReference w:id="17"/>
      </w:r>
      <w:r>
        <w:rPr>
          <w:b w:val="0"/>
          <w:i w:val="0"/>
        </w:rPr>
        <w:t>.</w:t>
      </w:r>
    </w:p>
    <w:p>
      <w:r>
        <w:rPr>
          <w:b w:val="0"/>
          <w:i w:val="0"/>
        </w:rPr>
        <w:t>3.2 You must tell us immediately if you become aware of any other person interested in the Matter whose identity you have not disclosed to us.</w:t>
      </w:r>
    </w:p>
    <w:p>
      <w:pPr>
        <w:pStyle w:val="Heading2"/>
      </w:pPr>
      <w:r>
        <w:rPr>
          <w:b w:val="0"/>
          <w:i w:val="0"/>
        </w:rPr>
        <w:t>4. FEES</w:t>
      </w:r>
    </w:p>
    <w:p>
      <w:r>
        <w:rPr>
          <w:b w:val="0"/>
          <w:i w:val="0"/>
        </w:rPr>
        <w:t xml:space="preserve">4.1 Our fees for the Matter will be charged on the following basis: </w:t>
      </w:r>
      <w:commentRangeStart w:id="18"/>
      <w:r>
        <w:rPr>
          <w:b w:val="0"/>
          <w:i w:val="0"/>
          <w:highlight w:val="yellow"/>
        </w:rPr>
        <w:t>[Fee basis (hourly / fixed / capped / scale / contingency)]</w:t>
      </w:r>
      <w:commentRangeEnd w:id="18"/>
      <w:r>
        <w:rPr>
          <w:rStyle w:val="CommentReference"/>
        </w:rPr>
        <w:commentReference w:id="18"/>
      </w:r>
      <w:r>
        <w:rPr>
          <w:b w:val="0"/>
          <w:i w:val="0"/>
        </w:rPr>
        <w:t>.</w:t>
      </w:r>
    </w:p>
    <w:p>
      <w:r>
        <w:rPr>
          <w:b w:val="0"/>
          <w:i w:val="0"/>
        </w:rPr>
        <w:t xml:space="preserve">4.2 </w:t>
      </w:r>
      <w:r>
        <w:rPr>
          <w:b/>
          <w:i w:val="0"/>
        </w:rPr>
        <w:t>Hourly rates.</w:t>
      </w:r>
      <w:r>
        <w:rPr>
          <w:b w:val="0"/>
          <w:i w:val="0"/>
        </w:rPr>
        <w:t xml:space="preserve"> Where fees are time-based, our current rates (exclusive of VAT) are: Partner ₦</w:t>
      </w:r>
      <w:commentRangeStart w:id="19"/>
      <w:r>
        <w:rPr>
          <w:b w:val="0"/>
          <w:i w:val="0"/>
          <w:highlight w:val="yellow"/>
        </w:rPr>
        <w:t>[Partner hourly rate (₦)]</w:t>
      </w:r>
      <w:commentRangeEnd w:id="19"/>
      <w:r>
        <w:rPr>
          <w:rStyle w:val="CommentReference"/>
        </w:rPr>
        <w:commentReference w:id="19"/>
      </w:r>
      <w:r>
        <w:rPr>
          <w:b w:val="0"/>
          <w:i w:val="0"/>
        </w:rPr>
        <w:t>; Senior Associate ₦</w:t>
      </w:r>
      <w:commentRangeStart w:id="20"/>
      <w:r>
        <w:rPr>
          <w:b w:val="0"/>
          <w:i w:val="0"/>
          <w:highlight w:val="yellow"/>
        </w:rPr>
        <w:t>[Senior Associate hourly rate (₦)]</w:t>
      </w:r>
      <w:commentRangeEnd w:id="20"/>
      <w:r>
        <w:rPr>
          <w:rStyle w:val="CommentReference"/>
        </w:rPr>
        <w:commentReference w:id="20"/>
      </w:r>
      <w:r>
        <w:rPr>
          <w:b w:val="0"/>
          <w:i w:val="0"/>
        </w:rPr>
        <w:t>; Associate ₦</w:t>
      </w:r>
      <w:commentRangeStart w:id="21"/>
      <w:r>
        <w:rPr>
          <w:b w:val="0"/>
          <w:i w:val="0"/>
          <w:highlight w:val="yellow"/>
        </w:rPr>
        <w:t>[Associate hourly rate (₦)]</w:t>
      </w:r>
      <w:commentRangeEnd w:id="21"/>
      <w:r>
        <w:rPr>
          <w:rStyle w:val="CommentReference"/>
        </w:rPr>
        <w:commentReference w:id="21"/>
      </w:r>
      <w:r>
        <w:rPr>
          <w:b w:val="0"/>
          <w:i w:val="0"/>
        </w:rPr>
        <w:t>; Paralegal ₦</w:t>
      </w:r>
      <w:commentRangeStart w:id="22"/>
      <w:r>
        <w:rPr>
          <w:b w:val="0"/>
          <w:i w:val="0"/>
          <w:highlight w:val="yellow"/>
        </w:rPr>
        <w:t>[Paralegal hourly rate (₦)]</w:t>
      </w:r>
      <w:commentRangeEnd w:id="22"/>
      <w:r>
        <w:rPr>
          <w:rStyle w:val="CommentReference"/>
        </w:rPr>
        <w:commentReference w:id="22"/>
      </w:r>
      <w:r>
        <w:rPr>
          <w:b w:val="0"/>
          <w:i w:val="0"/>
        </w:rPr>
        <w:t xml:space="preserve">. Time is recorded in units of six minutes. Rates are reviewed annually on </w:t>
      </w:r>
      <w:commentRangeStart w:id="23"/>
      <w:r>
        <w:rPr>
          <w:b w:val="0"/>
          <w:i w:val="0"/>
          <w:highlight w:val="yellow"/>
        </w:rPr>
        <w:t>[Rate review date]</w:t>
      </w:r>
      <w:commentRangeEnd w:id="23"/>
      <w:r>
        <w:rPr>
          <w:rStyle w:val="CommentReference"/>
        </w:rPr>
        <w:commentReference w:id="23"/>
      </w:r>
      <w:r>
        <w:rPr>
          <w:b w:val="0"/>
          <w:i w:val="0"/>
        </w:rPr>
        <w:t xml:space="preserve"> and we will notify you of any change before it applies to your Matter.</w:t>
      </w:r>
    </w:p>
    <w:p>
      <w:r>
        <w:rPr>
          <w:b w:val="0"/>
          <w:i w:val="0"/>
        </w:rPr>
        <w:t xml:space="preserve">4.3 </w:t>
      </w:r>
      <w:r>
        <w:rPr>
          <w:b/>
          <w:i w:val="0"/>
        </w:rPr>
        <w:t>Estimate.</w:t>
      </w:r>
      <w:r>
        <w:rPr>
          <w:b w:val="0"/>
          <w:i w:val="0"/>
        </w:rPr>
        <w:t xml:space="preserve"> Our estimate of fees for the Matter is ₦</w:t>
      </w:r>
      <w:commentRangeStart w:id="24"/>
      <w:r>
        <w:rPr>
          <w:b w:val="0"/>
          <w:i w:val="0"/>
          <w:highlight w:val="yellow"/>
        </w:rPr>
        <w:t>[Fee estimate (₦)]</w:t>
      </w:r>
      <w:commentRangeEnd w:id="24"/>
      <w:r>
        <w:rPr>
          <w:rStyle w:val="CommentReference"/>
        </w:rPr>
        <w:commentReference w:id="24"/>
      </w:r>
      <w:r>
        <w:rPr>
          <w:b w:val="0"/>
          <w:i w:val="0"/>
        </w:rPr>
        <w:t xml:space="preserve"> exclusive of VAT and disbursements. The estimate is given in good faith on the information currently available; it is not a fixed fee or a cap unless clause 4.1 says so, and we will notify you promptly if it is likely to be exceeded.</w:t>
      </w:r>
    </w:p>
    <w:p>
      <w:r>
        <w:rPr>
          <w:b w:val="0"/>
          <w:i w:val="0"/>
        </w:rPr>
        <w:t xml:space="preserve">4.4 </w:t>
      </w:r>
      <w:r>
        <w:rPr>
          <w:b/>
          <w:i w:val="0"/>
        </w:rPr>
        <w:t>Scale fees.</w:t>
      </w:r>
      <w:r>
        <w:rPr>
          <w:b w:val="0"/>
          <w:i w:val="0"/>
        </w:rPr>
        <w:t xml:space="preserve"> Where the Matter involves the preparation of conveyances, leases, mortgages or other instruments relating to land, our fees are charged in accordance with the Legal Practitioners (Remuneration for Legal Documentation and other Land Matters) Order made under the Legal Practitioners Act, and the applicable scale amount will be stated in our bill.</w:t>
      </w:r>
    </w:p>
    <w:p>
      <w:r>
        <w:rPr>
          <w:b w:val="0"/>
          <w:i w:val="0"/>
        </w:rPr>
        <w:t xml:space="preserve">4.5 </w:t>
      </w:r>
      <w:r>
        <w:rPr>
          <w:b/>
          <w:i w:val="0"/>
        </w:rPr>
        <w:t>Contingency and success fees.</w:t>
      </w:r>
      <w:r>
        <w:rPr>
          <w:b w:val="0"/>
          <w:i w:val="0"/>
        </w:rPr>
        <w:t xml:space="preserve"> Any contingency, success or uplift fee is set out here, is permitted only to the extent the RPC allows, and is not available in any criminal matter: </w:t>
      </w:r>
      <w:commentRangeStart w:id="25"/>
      <w:r>
        <w:rPr>
          <w:b w:val="0"/>
          <w:i w:val="0"/>
          <w:highlight w:val="yellow"/>
        </w:rPr>
        <w:t>[Success fee arrangement (or "None")]</w:t>
      </w:r>
      <w:commentRangeEnd w:id="25"/>
      <w:r>
        <w:rPr>
          <w:rStyle w:val="CommentReference"/>
        </w:rPr>
        <w:commentReference w:id="25"/>
      </w:r>
      <w:r>
        <w:rPr>
          <w:b w:val="0"/>
          <w:i w:val="0"/>
        </w:rPr>
        <w:t>.</w:t>
      </w:r>
    </w:p>
    <w:p>
      <w:r>
        <w:rPr>
          <w:b w:val="0"/>
          <w:i w:val="0"/>
        </w:rPr>
        <w:t xml:space="preserve">4.6 </w:t>
      </w:r>
      <w:r>
        <w:rPr>
          <w:b/>
          <w:i w:val="0"/>
        </w:rPr>
        <w:t>Fees are payable regardless of outcome.</w:t>
      </w:r>
      <w:r>
        <w:rPr>
          <w:b w:val="0"/>
          <w:i w:val="0"/>
        </w:rPr>
        <w:t xml:space="preserve"> Save where a contingency fee is expressly agreed, our fees are payable whether or not the Matter is concluded successfully, and are not dependent on any award of costs in your favour. Costs awarded by a court against another party are usually less than the fees you owe us, and you remain liable for the balance.</w:t>
      </w:r>
    </w:p>
    <w:p>
      <w:pPr>
        <w:pStyle w:val="Heading2"/>
      </w:pPr>
      <w:r>
        <w:rPr>
          <w:b w:val="0"/>
          <w:i w:val="0"/>
        </w:rPr>
        <w:t>5. DISBURSEMENTS AND TAXES</w:t>
      </w:r>
    </w:p>
    <w:p>
      <w:r>
        <w:rPr>
          <w:b w:val="0"/>
          <w:i w:val="0"/>
        </w:rPr>
        <w:t>5.1 In addition to fees, you will pay all disbursements incurred on your behalf, including court filing fees, stamp duty, Corporate Affairs Commission and other regulatory fees, Lands Registry search and registration fees, expert and counsel fees, courier, travel and accommodation, and reasonable reprographics. We may require payment on account of significant disbursements before incurring them.</w:t>
      </w:r>
    </w:p>
    <w:p>
      <w:r>
        <w:rPr>
          <w:b w:val="0"/>
          <w:i w:val="0"/>
        </w:rPr>
        <w:t xml:space="preserve">5.2 </w:t>
      </w:r>
      <w:r>
        <w:rPr>
          <w:b/>
          <w:i w:val="0"/>
        </w:rPr>
        <w:t>VAT.</w:t>
      </w:r>
      <w:r>
        <w:rPr>
          <w:b w:val="0"/>
          <w:i w:val="0"/>
        </w:rPr>
        <w:t xml:space="preserve"> Value added tax at the prevailing rate (currently 7.5 per cent) is chargeable on our fees and on VATable disbursements, and will be shown separately on our bills, in accordance with the Nigeria Tax Act 2025.</w:t>
      </w:r>
    </w:p>
    <w:p>
      <w:r>
        <w:rPr>
          <w:b w:val="0"/>
          <w:i w:val="0"/>
        </w:rPr>
        <w:t xml:space="preserve">5.3 </w:t>
      </w:r>
      <w:r>
        <w:rPr>
          <w:b/>
          <w:i w:val="0"/>
        </w:rPr>
        <w:t>Withholding tax.</w:t>
      </w:r>
      <w:r>
        <w:rPr>
          <w:b w:val="0"/>
          <w:i w:val="0"/>
        </w:rPr>
        <w:t xml:space="preserve"> Where you are required by law to deduct withholding tax from our fees, you must remit it to the relevant tax authority and deliver to us the official withholding tax credit note within thirty days of remittance. Until we receive the credit note the deducted amount remains outstanding on your account.</w:t>
      </w:r>
    </w:p>
    <w:p>
      <w:pPr>
        <w:pStyle w:val="Heading2"/>
      </w:pPr>
      <w:r>
        <w:rPr>
          <w:b w:val="0"/>
          <w:i w:val="0"/>
        </w:rPr>
        <w:t>6. BILLING AND PAYMENT</w:t>
      </w:r>
    </w:p>
    <w:p>
      <w:r>
        <w:rPr>
          <w:b w:val="0"/>
          <w:i w:val="0"/>
        </w:rPr>
        <w:t xml:space="preserve">6.1 We will render bills </w:t>
      </w:r>
      <w:commentRangeStart w:id="26"/>
      <w:r>
        <w:rPr>
          <w:b w:val="0"/>
          <w:i w:val="0"/>
          <w:highlight w:val="yellow"/>
        </w:rPr>
        <w:t>[Billing frequency]</w:t>
      </w:r>
      <w:commentRangeEnd w:id="26"/>
      <w:r>
        <w:rPr>
          <w:rStyle w:val="CommentReference"/>
        </w:rPr>
        <w:commentReference w:id="26"/>
      </w:r>
      <w:r>
        <w:rPr>
          <w:b w:val="0"/>
          <w:i w:val="0"/>
        </w:rPr>
        <w:t>, and a final bill on completion of the Matter. Each bill is a bill of charges for the purposes of section 16 of the Legal Practitioners Act and will set out the particulars of the principal items of work done and the charges for them.</w:t>
      </w:r>
    </w:p>
    <w:p>
      <w:r>
        <w:rPr>
          <w:b w:val="0"/>
          <w:i w:val="0"/>
        </w:rPr>
        <w:t xml:space="preserve">6.2 Bills are payable within </w:t>
      </w:r>
      <w:commentRangeStart w:id="27"/>
      <w:r>
        <w:rPr>
          <w:b w:val="0"/>
          <w:i w:val="0"/>
          <w:highlight w:val="yellow"/>
        </w:rPr>
        <w:t>[Payment terms (days)]</w:t>
      </w:r>
      <w:commentRangeEnd w:id="27"/>
      <w:r>
        <w:rPr>
          <w:rStyle w:val="CommentReference"/>
        </w:rPr>
        <w:commentReference w:id="27"/>
      </w:r>
      <w:r>
        <w:rPr>
          <w:b w:val="0"/>
          <w:i w:val="0"/>
        </w:rPr>
        <w:t xml:space="preserve"> days of the date of the bill by transfer to the Firm's office account: </w:t>
      </w:r>
      <w:commentRangeStart w:id="28"/>
      <w:r>
        <w:rPr>
          <w:b w:val="0"/>
          <w:i w:val="0"/>
          <w:highlight w:val="yellow"/>
        </w:rPr>
        <w:t>[Firm office bank account details]</w:t>
      </w:r>
      <w:commentRangeEnd w:id="28"/>
      <w:r>
        <w:rPr>
          <w:rStyle w:val="CommentReference"/>
        </w:rPr>
        <w:commentReference w:id="28"/>
      </w:r>
      <w:r>
        <w:rPr>
          <w:b w:val="0"/>
          <w:i w:val="0"/>
        </w:rPr>
        <w:t>. We do not accept cash payments exceeding the thresholds prescribed under the Money Laundering (Prevention and Prohibition) Act 2022.</w:t>
      </w:r>
    </w:p>
    <w:p>
      <w:r>
        <w:rPr>
          <w:b w:val="0"/>
          <w:i w:val="0"/>
        </w:rPr>
        <w:t xml:space="preserve">6.3 </w:t>
      </w:r>
      <w:r>
        <w:rPr>
          <w:b/>
          <w:i w:val="0"/>
        </w:rPr>
        <w:t>Payment on account.</w:t>
      </w:r>
      <w:r>
        <w:rPr>
          <w:b w:val="0"/>
          <w:i w:val="0"/>
        </w:rPr>
        <w:t xml:space="preserve"> We require a payment on account of fees and disbursements of ₦</w:t>
      </w:r>
      <w:commentRangeStart w:id="29"/>
      <w:r>
        <w:rPr>
          <w:b w:val="0"/>
          <w:i w:val="0"/>
          <w:highlight w:val="yellow"/>
        </w:rPr>
        <w:t>[Payment on account (₦)]</w:t>
      </w:r>
      <w:commentRangeEnd w:id="29"/>
      <w:r>
        <w:rPr>
          <w:rStyle w:val="CommentReference"/>
        </w:rPr>
        <w:commentReference w:id="29"/>
      </w:r>
      <w:r>
        <w:rPr>
          <w:b w:val="0"/>
          <w:i w:val="0"/>
        </w:rPr>
        <w:t xml:space="preserve"> before commencing work, and may request further payments on account as the Matter progresses. Sums paid on account will be held in our client account and applied to our bills as rendered.</w:t>
      </w:r>
    </w:p>
    <w:p>
      <w:r>
        <w:rPr>
          <w:b w:val="0"/>
          <w:i w:val="0"/>
        </w:rPr>
        <w:t xml:space="preserve">6.4 </w:t>
      </w:r>
      <w:r>
        <w:rPr>
          <w:b/>
          <w:i w:val="0"/>
        </w:rPr>
        <w:t>Late payment.</w:t>
      </w:r>
      <w:r>
        <w:rPr>
          <w:b w:val="0"/>
          <w:i w:val="0"/>
        </w:rPr>
        <w:t xml:space="preserve"> Interest at </w:t>
      </w:r>
      <w:commentRangeStart w:id="30"/>
      <w:r>
        <w:rPr>
          <w:b w:val="0"/>
          <w:i w:val="0"/>
          <w:highlight w:val="yellow"/>
        </w:rPr>
        <w:t>[Late payment interest rate (% per annum)]</w:t>
      </w:r>
      <w:commentRangeEnd w:id="30"/>
      <w:r>
        <w:rPr>
          <w:rStyle w:val="CommentReference"/>
        </w:rPr>
        <w:commentReference w:id="30"/>
      </w:r>
      <w:r>
        <w:rPr>
          <w:b w:val="0"/>
          <w:i w:val="0"/>
        </w:rPr>
        <w:t xml:space="preserve"> per cent per annum accrues on unpaid bills from the due date. We may suspend work or cease acting if bills remain unpaid after written reminder, and we reserve the right, subject to the Legal Practitioners Act (which requires that a bill of charges be delivered and one month elapse before an action to recover fees is commenced), to recover our fees by action.</w:t>
      </w:r>
    </w:p>
    <w:p>
      <w:r>
        <w:rPr>
          <w:b w:val="0"/>
          <w:i w:val="0"/>
        </w:rPr>
        <w:t xml:space="preserve">6.5 </w:t>
      </w:r>
      <w:r>
        <w:rPr>
          <w:b/>
          <w:i w:val="0"/>
        </w:rPr>
        <w:t>Queries.</w:t>
      </w:r>
      <w:r>
        <w:rPr>
          <w:b w:val="0"/>
          <w:i w:val="0"/>
        </w:rPr>
        <w:t xml:space="preserve"> If you have a query about a bill, please raise it with the supervising partner within fourteen days of the bill date. You have the right under the Legal Practitioners Act to apply to the court for the taxation of our bill.</w:t>
      </w:r>
    </w:p>
    <w:p>
      <w:pPr>
        <w:pStyle w:val="Heading2"/>
      </w:pPr>
      <w:r>
        <w:rPr>
          <w:b w:val="0"/>
          <w:i w:val="0"/>
        </w:rPr>
        <w:t>7. CLIENT MONEY</w:t>
      </w:r>
    </w:p>
    <w:p>
      <w:r>
        <w:rPr>
          <w:b w:val="0"/>
          <w:i w:val="0"/>
        </w:rPr>
        <w:t>7.1 Money received from or on behalf of you (other than in payment of a bill) will be paid into a designated client account maintained in accordance with the Legal Practitioners Act and the RPC, kept separate from the Firm's own funds, and applied only for the purposes of the Matter or as you direct in writing.</w:t>
      </w:r>
    </w:p>
    <w:p>
      <w:r>
        <w:rPr>
          <w:b w:val="0"/>
          <w:i w:val="0"/>
        </w:rPr>
        <w:t xml:space="preserve">7.2 Unless otherwise agreed, interest earned on client money is </w:t>
      </w:r>
      <w:commentRangeStart w:id="31"/>
      <w:r>
        <w:rPr>
          <w:b w:val="0"/>
          <w:i w:val="0"/>
          <w:highlight w:val="yellow"/>
        </w:rPr>
        <w:t>[Client money interest policy]</w:t>
      </w:r>
      <w:commentRangeEnd w:id="31"/>
      <w:r>
        <w:rPr>
          <w:rStyle w:val="CommentReference"/>
        </w:rPr>
        <w:commentReference w:id="31"/>
      </w:r>
      <w:r>
        <w:rPr>
          <w:b w:val="0"/>
          <w:i w:val="0"/>
        </w:rPr>
        <w:t>. We will account to you for all client money on completion of the Matter or on demand, and will provide a statement of client account transactions on request.</w:t>
      </w:r>
    </w:p>
    <w:p>
      <w:r>
        <w:rPr>
          <w:b w:val="0"/>
          <w:i w:val="0"/>
        </w:rPr>
        <w:t>7.3 We may deduct from client money any sum properly due to us under a rendered bill, after giving you not less than seven days' written notice of our intention to do so.</w:t>
      </w:r>
    </w:p>
    <w:p>
      <w:pPr>
        <w:pStyle w:val="Heading2"/>
      </w:pPr>
      <w:r>
        <w:rPr>
          <w:b w:val="0"/>
          <w:i w:val="0"/>
        </w:rPr>
        <w:t>8. YOUR RESPONSIBILITIES</w:t>
      </w:r>
    </w:p>
    <w:p>
      <w:r>
        <w:rPr>
          <w:b w:val="0"/>
          <w:i w:val="0"/>
        </w:rPr>
        <w:t>You agree to: (a) give us clear, timely and accurate instructions and all documents and information relevant to the Matter; (b) tell us promptly of any change in your circumstances or instructions; (c) not ask us to act in a manner that is illegal, improper or contrary to the RPC; (d) comply with the identity verification requirements in clause 9; and (e) pay our bills in accordance with clause 6. We are not liable for any loss arising from incomplete, inaccurate or late information provided by you or on your behalf.</w:t>
      </w:r>
    </w:p>
    <w:p>
      <w:pPr>
        <w:pStyle w:val="Heading2"/>
      </w:pPr>
      <w:r>
        <w:rPr>
          <w:b w:val="0"/>
          <w:i w:val="0"/>
        </w:rPr>
        <w:t>9. ANTI-MONEY LAUNDERING AND IDENTITY VERIFICATION</w:t>
      </w:r>
    </w:p>
    <w:p>
      <w:r>
        <w:rPr>
          <w:b w:val="0"/>
          <w:i w:val="0"/>
        </w:rPr>
        <w:t>9.1 Legal practitioners are designated non-financial businesses under the Money Laundering (Prevention and Prohibition) Act 2022. We are required to verify the identity of every client and, where the client is a company, its directors and beneficial owners, before establishing a business relationship, and to keep records of the verification. Please provide the identification documents listed in the attached checklist within seven days. We cannot commence substantive work until verification is complete.</w:t>
      </w:r>
    </w:p>
    <w:p>
      <w:r>
        <w:rPr>
          <w:b w:val="0"/>
          <w:i w:val="0"/>
        </w:rPr>
        <w:t>9.2 We are obliged to report suspicious transactions to the relevant authority (including through the Special Control Unit against Money Laundering) and may be prohibited by law from informing you that a report has been made. Where a report is required, we may have to suspend or terminate our engagement without giving reasons.</w:t>
      </w:r>
    </w:p>
    <w:p>
      <w:pPr>
        <w:pStyle w:val="Heading2"/>
      </w:pPr>
      <w:r>
        <w:rPr>
          <w:b w:val="0"/>
          <w:i w:val="0"/>
        </w:rPr>
        <w:t>10. CONFIDENTIALITY AND LEGAL PROFESSIONAL PRIVILEGE</w:t>
      </w:r>
    </w:p>
    <w:p>
      <w:r>
        <w:rPr>
          <w:b w:val="0"/>
          <w:i w:val="0"/>
        </w:rPr>
        <w:t>10.1 We will keep all information relating to you and the Matter confidential, in accordance with the RPC and the privilege attaching to communications between legal practitioner and client under the Evidence Act 2011 (as amended), and will not disclose it except: (a) as you authorise; (b) as required by law, court order or a regulator; (c) to counsel, experts and other professionals engaged on the Matter who are bound by confidentiality; or (d) to our professional indemnity insurers and auditors.</w:t>
      </w:r>
    </w:p>
    <w:p>
      <w:r>
        <w:rPr>
          <w:b w:val="0"/>
          <w:i w:val="0"/>
        </w:rPr>
        <w:t>10.2 Unless you instruct otherwise, we may identify you as a client and describe the general nature of the Matter (without disclosing confidential information) in our marketing materials after the Matter has become public.</w:t>
      </w:r>
    </w:p>
    <w:p>
      <w:pPr>
        <w:pStyle w:val="Heading2"/>
      </w:pPr>
      <w:r>
        <w:rPr>
          <w:b w:val="0"/>
          <w:i w:val="0"/>
        </w:rPr>
        <w:t>11. DATA PROTECTION</w:t>
      </w:r>
    </w:p>
    <w:p>
      <w:r>
        <w:rPr>
          <w:b w:val="0"/>
          <w:i w:val="0"/>
        </w:rPr>
        <w:t>11.1 We process personal data of you, your officers, employees and other individuals connected with the Matter as a data controller in accordance with the Nigeria Data Protection Act 2023 and our privacy notice, for the purposes of providing legal services, complying with our legal and regulatory obligations (including under clause 9), managing our relationship with you, and establishing, exercising or defending legal claims.</w:t>
      </w:r>
    </w:p>
    <w:p>
      <w:r>
        <w:rPr>
          <w:b w:val="0"/>
          <w:i w:val="0"/>
        </w:rPr>
        <w:t xml:space="preserve">11.2 Where you provide us with personal data of third parties, you confirm that you have a lawful basis to do so. We will implement appropriate technical and organisational measures to protect personal data and will not transfer it outside Nigeria except in compliance with the Act. Our Data Protection Officer may be contacted at </w:t>
      </w:r>
      <w:commentRangeStart w:id="32"/>
      <w:r>
        <w:rPr>
          <w:b w:val="0"/>
          <w:i w:val="0"/>
          <w:highlight w:val="yellow"/>
        </w:rPr>
        <w:t>[Firm DPO contact]</w:t>
      </w:r>
      <w:commentRangeEnd w:id="32"/>
      <w:r>
        <w:rPr>
          <w:rStyle w:val="CommentReference"/>
        </w:rPr>
        <w:commentReference w:id="32"/>
      </w:r>
      <w:r>
        <w:rPr>
          <w:b w:val="0"/>
          <w:i w:val="0"/>
        </w:rPr>
        <w:t>.</w:t>
      </w:r>
    </w:p>
    <w:p>
      <w:pPr>
        <w:pStyle w:val="Heading2"/>
      </w:pPr>
      <w:r>
        <w:rPr>
          <w:b w:val="0"/>
          <w:i w:val="0"/>
        </w:rPr>
        <w:t>12. COMMUNICATION AND ELECTRONIC SERVICES</w:t>
      </w:r>
    </w:p>
    <w:p>
      <w:r>
        <w:rPr>
          <w:b w:val="0"/>
          <w:i w:val="0"/>
        </w:rPr>
        <w:t>We will communicate with you by email, telephone, video-conference and secure client portal unless you instruct otherwise. Email is not a fully secure medium; we use reasonable security measures but you accept the risk of interception or delay inherent in electronic communication. Please tell us if any information should not be sent by email, and always verify any change in our bank details by telephone with the supervising partner before making a payment.</w:t>
      </w:r>
    </w:p>
    <w:p>
      <w:pPr>
        <w:pStyle w:val="Heading2"/>
      </w:pPr>
      <w:r>
        <w:rPr>
          <w:b w:val="0"/>
          <w:i w:val="0"/>
        </w:rPr>
        <w:t>13. OUTSIDE COUNSEL AND EXPERTS</w:t>
      </w:r>
    </w:p>
    <w:p>
      <w:r>
        <w:rPr>
          <w:b w:val="0"/>
          <w:i w:val="0"/>
        </w:rPr>
        <w:t>Where the Matter requires the engagement of a Senior Advocate of Nigeria, other counsel, an expert witness, a foreign lawyer or another professional, we will consult you before engaging them and their fees will be a disbursement payable by you. We are not responsible for the advice or conduct of such persons except to the extent we have failed to exercise reasonable care in selecting or instructing them.</w:t>
      </w:r>
    </w:p>
    <w:p>
      <w:pPr>
        <w:pStyle w:val="Heading2"/>
      </w:pPr>
      <w:r>
        <w:rPr>
          <w:b w:val="0"/>
          <w:i w:val="0"/>
        </w:rPr>
        <w:t>14. LIMITATION OF LIABILITY</w:t>
      </w:r>
    </w:p>
    <w:p>
      <w:r>
        <w:rPr>
          <w:b w:val="0"/>
          <w:i w:val="0"/>
        </w:rPr>
        <w:t>14.1 We accept liability without limit for death or personal injury caused by our negligence, for fraud, and for any liability that cannot lawfully be excluded or limited, including under the RPC.</w:t>
      </w:r>
    </w:p>
    <w:p>
      <w:r>
        <w:rPr>
          <w:b w:val="0"/>
          <w:i w:val="0"/>
        </w:rPr>
        <w:t>14.2 Subject to clause 14.1, our aggregate liability to you arising out of or in connection with the Matter, whether in contract, tort (including negligence), breach of statutory duty or otherwise, shall not exceed ₦</w:t>
      </w:r>
      <w:commentRangeStart w:id="33"/>
      <w:r>
        <w:rPr>
          <w:b w:val="0"/>
          <w:i w:val="0"/>
          <w:highlight w:val="yellow"/>
        </w:rPr>
        <w:t>[Liability cap (₦)]</w:t>
      </w:r>
      <w:commentRangeEnd w:id="33"/>
      <w:r>
        <w:rPr>
          <w:rStyle w:val="CommentReference"/>
        </w:rPr>
        <w:commentReference w:id="33"/>
      </w:r>
      <w:r>
        <w:rPr>
          <w:b w:val="0"/>
          <w:i w:val="0"/>
        </w:rPr>
        <w:t>, being not less than the minimum professional indemnity cover we maintain, and we shall not be liable for any indirect or consequential loss or loss of profit.</w:t>
      </w:r>
    </w:p>
    <w:p>
      <w:r>
        <w:rPr>
          <w:b w:val="0"/>
          <w:i w:val="0"/>
        </w:rPr>
        <w:t>14.3 Our engagement is with the Firm and not with any individual partner or employee, and you agree not to bring any claim against any individual partner, employee or consultant of the Firm in connection with the Matter.</w:t>
      </w:r>
    </w:p>
    <w:p>
      <w:r>
        <w:rPr>
          <w:b w:val="0"/>
          <w:i w:val="0"/>
        </w:rPr>
        <w:t xml:space="preserve">14.4 We maintain professional indemnity insurance with </w:t>
      </w:r>
      <w:commentRangeStart w:id="34"/>
      <w:r>
        <w:rPr>
          <w:b w:val="0"/>
          <w:i w:val="0"/>
          <w:highlight w:val="yellow"/>
        </w:rPr>
        <w:t>[Professional indemnity insurer]</w:t>
      </w:r>
      <w:commentRangeEnd w:id="34"/>
      <w:r>
        <w:rPr>
          <w:rStyle w:val="CommentReference"/>
        </w:rPr>
        <w:commentReference w:id="34"/>
      </w:r>
      <w:r>
        <w:rPr>
          <w:b w:val="0"/>
          <w:i w:val="0"/>
        </w:rPr>
        <w:t xml:space="preserve"> to a limit of ₦</w:t>
      </w:r>
      <w:commentRangeStart w:id="35"/>
      <w:r>
        <w:rPr>
          <w:b w:val="0"/>
          <w:i w:val="0"/>
          <w:highlight w:val="yellow"/>
        </w:rPr>
        <w:t>[Professional indemnity cover (₦)]</w:t>
      </w:r>
      <w:commentRangeEnd w:id="35"/>
      <w:r>
        <w:rPr>
          <w:rStyle w:val="CommentReference"/>
        </w:rPr>
        <w:commentReference w:id="35"/>
      </w:r>
      <w:r>
        <w:rPr>
          <w:b w:val="0"/>
          <w:i w:val="0"/>
        </w:rPr>
        <w:t xml:space="preserve"> per claim.</w:t>
      </w:r>
    </w:p>
    <w:p>
      <w:pPr>
        <w:pStyle w:val="Heading2"/>
      </w:pPr>
      <w:r>
        <w:rPr>
          <w:b w:val="0"/>
          <w:i w:val="0"/>
        </w:rPr>
        <w:t>15. TERMINATION OF ENGAGEMENT</w:t>
      </w:r>
    </w:p>
    <w:p>
      <w:r>
        <w:rPr>
          <w:b w:val="0"/>
          <w:i w:val="0"/>
        </w:rPr>
        <w:t>15.1 You may terminate our engagement at any time by written notice. We may cease acting on reasonable written notice where there is good cause, including non-payment of bills, failure to give instructions, a conflict of interest, a breakdown in confidence, or where continuing would breach the law or the RPC, and in each case in compliance with the RPC requirements on withdrawal from employment, including giving you reasonable notice to engage other counsel and delivering the papers and property to which you are entitled.</w:t>
      </w:r>
    </w:p>
    <w:p>
      <w:r>
        <w:rPr>
          <w:b w:val="0"/>
          <w:i w:val="0"/>
        </w:rPr>
        <w:t>15.2 On termination you must pay our fees and disbursements incurred to the date of termination, including the cost of any work reasonably required to transfer the Matter to new counsel. We are entitled to a lien over your papers and documents in our possession until our fees are paid, to the extent permitted by law and the RPC, provided the lien is not exercised so as to prejudice your position in pending litigation.</w:t>
      </w:r>
    </w:p>
    <w:p>
      <w:r>
        <w:rPr>
          <w:b w:val="0"/>
          <w:i w:val="0"/>
        </w:rPr>
        <w:t>15.3 Where the Matter involves litigation, the court's leave may be required for us to withdraw as counsel of record, and you agree to sign such notices of change of counsel as are necessary.</w:t>
      </w:r>
    </w:p>
    <w:p>
      <w:pPr>
        <w:pStyle w:val="Heading2"/>
      </w:pPr>
      <w:r>
        <w:rPr>
          <w:b w:val="0"/>
          <w:i w:val="0"/>
        </w:rPr>
        <w:t>16. FILE RETENTION</w:t>
      </w:r>
    </w:p>
    <w:p>
      <w:r>
        <w:rPr>
          <w:b w:val="0"/>
          <w:i w:val="0"/>
        </w:rPr>
        <w:t xml:space="preserve">We will retain the file for the Matter (in physical or electronic form) for </w:t>
      </w:r>
      <w:commentRangeStart w:id="36"/>
      <w:r>
        <w:rPr>
          <w:b w:val="0"/>
          <w:i w:val="0"/>
          <w:highlight w:val="yellow"/>
        </w:rPr>
        <w:t>[File retention period (years)]</w:t>
      </w:r>
      <w:commentRangeEnd w:id="36"/>
      <w:r>
        <w:rPr>
          <w:rStyle w:val="CommentReference"/>
        </w:rPr>
        <w:commentReference w:id="36"/>
      </w:r>
      <w:r>
        <w:rPr>
          <w:b w:val="0"/>
          <w:i w:val="0"/>
        </w:rPr>
        <w:t xml:space="preserve"> years after the final bill, after which it may be destroyed without further notice to you. Original title documents, wills, share certificates and other original instruments held in safe custody are retained until you collect them or instruct us in writing on their disposition. We may charge a reasonable fee for retrieving files from storage.</w:t>
      </w:r>
    </w:p>
    <w:p>
      <w:pPr>
        <w:pStyle w:val="Heading2"/>
      </w:pPr>
      <w:r>
        <w:rPr>
          <w:b w:val="0"/>
          <w:i w:val="0"/>
        </w:rPr>
        <w:t>17. COMPLAINTS</w:t>
      </w:r>
    </w:p>
    <w:p>
      <w:r>
        <w:rPr>
          <w:b w:val="0"/>
          <w:i w:val="0"/>
        </w:rPr>
        <w:t xml:space="preserve">If you are dissatisfied with our service, please raise the matter first with the day-to-day lawyer and then with </w:t>
      </w:r>
      <w:commentRangeStart w:id="37"/>
      <w:r>
        <w:rPr>
          <w:b w:val="0"/>
          <w:i w:val="0"/>
          <w:highlight w:val="yellow"/>
        </w:rPr>
        <w:t>[Complaints partner name]</w:t>
      </w:r>
      <w:commentRangeEnd w:id="37"/>
      <w:r>
        <w:rPr>
          <w:rStyle w:val="CommentReference"/>
        </w:rPr>
        <w:commentReference w:id="37"/>
      </w:r>
      <w:r>
        <w:rPr>
          <w:b w:val="0"/>
          <w:i w:val="0"/>
        </w:rPr>
        <w:t>, who will investigate and respond in writing within fourteen days. You also have the right to lodge a complaint with the Nigerian Bar Association or, in respect of professional misconduct, with the Legal Practitioners Disciplinary Committee constituted under the Legal Practitioners Act.</w:t>
      </w:r>
    </w:p>
    <w:p>
      <w:pPr>
        <w:pStyle w:val="Heading2"/>
      </w:pPr>
      <w:r>
        <w:rPr>
          <w:b w:val="0"/>
          <w:i w:val="0"/>
        </w:rPr>
        <w:t>18. GENERAL</w:t>
      </w:r>
    </w:p>
    <w:p>
      <w:r>
        <w:rPr>
          <w:b w:val="0"/>
          <w:i w:val="0"/>
        </w:rPr>
        <w:t>18.1 This Engagement Letter constitutes the entire agreement between us in relation to the Matter and supersedes any prior proposal or correspondence. It applies to the Matter and to any further matter on which you instruct us, unless we issue a separate engagement letter.</w:t>
      </w:r>
    </w:p>
    <w:p>
      <w:r>
        <w:rPr>
          <w:b w:val="0"/>
          <w:i w:val="0"/>
        </w:rPr>
        <w:t>18.2 We may amend the Terms of Business on thirty days' written notice; amendments do not affect fees already agreed for the Matter.</w:t>
      </w:r>
    </w:p>
    <w:p>
      <w:r>
        <w:rPr>
          <w:b w:val="0"/>
          <w:i w:val="0"/>
        </w:rPr>
        <w:t xml:space="preserve">18.3 This Engagement Letter is governed by the laws of the Federal Republic of Nigeria. Any dispute arising out of it (other than proceedings for the recovery of our fees, or an application for taxation of our bill, which may be brought in the courts of </w:t>
      </w:r>
      <w:commentRangeStart w:id="38"/>
      <w:r>
        <w:rPr>
          <w:b w:val="0"/>
          <w:i w:val="0"/>
          <w:highlight w:val="yellow"/>
        </w:rPr>
        <w:t>[Governing State]</w:t>
      </w:r>
      <w:commentRangeEnd w:id="38"/>
      <w:r>
        <w:rPr>
          <w:rStyle w:val="CommentReference"/>
        </w:rPr>
        <w:commentReference w:id="38"/>
      </w:r>
      <w:r>
        <w:rPr>
          <w:b w:val="0"/>
          <w:i w:val="0"/>
        </w:rPr>
        <w:t xml:space="preserve"> State) shall be referred to mediation under the Arbitration and Mediation Act 2023 and, failing settlement within thirty days, to arbitration under that Act before a sole arbitrator appointed by </w:t>
      </w:r>
      <w:commentRangeStart w:id="39"/>
      <w:r>
        <w:rPr>
          <w:b w:val="0"/>
          <w:i w:val="0"/>
          <w:highlight w:val="yellow"/>
        </w:rPr>
        <w:t>[Arbitral institution]</w:t>
      </w:r>
      <w:commentRangeEnd w:id="39"/>
      <w:r>
        <w:rPr>
          <w:rStyle w:val="CommentReference"/>
        </w:rPr>
        <w:commentReference w:id="39"/>
      </w:r>
      <w:r>
        <w:rPr>
          <w:b w:val="0"/>
          <w:i w:val="0"/>
        </w:rPr>
        <w:t xml:space="preserve">, with seat at </w:t>
      </w:r>
      <w:commentRangeStart w:id="40"/>
      <w:r>
        <w:rPr>
          <w:b w:val="0"/>
          <w:i w:val="0"/>
          <w:highlight w:val="yellow"/>
        </w:rPr>
        <w:t>[Seat of arbitration]</w:t>
      </w:r>
      <w:commentRangeEnd w:id="40"/>
      <w:r>
        <w:rPr>
          <w:rStyle w:val="CommentReference"/>
        </w:rPr>
        <w:commentReference w:id="40"/>
      </w:r>
      <w:r>
        <w:rPr>
          <w:b w:val="0"/>
          <w:i w:val="0"/>
        </w:rPr>
        <w:t>, Nigeria.</w:t>
      </w:r>
    </w:p>
    <w:p>
      <w:r>
        <w:rPr>
          <w:b w:val="0"/>
          <w:i w:val="0"/>
        </w:rPr>
        <w:t>We look forward to working with you.</w:t>
      </w:r>
    </w:p>
    <w:p>
      <w:r>
        <w:rPr>
          <w:b w:val="0"/>
          <w:i w:val="0"/>
        </w:rPr>
        <w:t>Yours faithfully,</w:t>
      </w:r>
    </w:p>
    <w:p>
      <w:r>
        <w:rPr>
          <w:b w:val="0"/>
          <w:i w:val="0"/>
        </w:rPr>
        <w:t>______________________</w:t>
      </w:r>
    </w:p>
    <w:p>
      <w:r>
        <w:rPr>
          <w:b/>
          <w:i w:val="0"/>
          <w:highlight w:val="yellow"/>
        </w:rPr>
        <w:t>[Supervising partner name]</w:t>
      </w:r>
    </w:p>
    <w:p>
      <w:r>
        <w:rPr>
          <w:b w:val="0"/>
          <w:i w:val="0"/>
        </w:rPr>
        <w:t xml:space="preserve">Partner, for and on behalf of </w:t>
      </w:r>
      <w:r>
        <w:rPr>
          <w:b/>
          <w:i w:val="0"/>
          <w:highlight w:val="yellow"/>
        </w:rPr>
        <w:t>[Firm name]</w:t>
      </w:r>
    </w:p>
    <w:p>
      <w:pPr>
        <w:pStyle w:val="Heading2"/>
      </w:pPr>
      <w:r>
        <w:rPr>
          <w:b w:val="0"/>
          <w:i w:val="0"/>
        </w:rPr>
        <w:t>ACCEPTANCE</w:t>
      </w:r>
    </w:p>
    <w:p>
      <w:r>
        <w:rPr>
          <w:b w:val="0"/>
          <w:i w:val="0"/>
        </w:rPr>
        <w:t xml:space="preserve">I / We confirm that I / we have read and understood this Engagement Letter and the attached Terms of Business, and instruct </w:t>
      </w:r>
      <w:r>
        <w:rPr>
          <w:b w:val="0"/>
          <w:i w:val="0"/>
          <w:highlight w:val="yellow"/>
        </w:rPr>
        <w:t>[Firm name]</w:t>
      </w:r>
      <w:r>
        <w:rPr>
          <w:b w:val="0"/>
          <w:i w:val="0"/>
        </w:rPr>
        <w:t xml:space="preserve"> to act for </w:t>
      </w:r>
      <w:r>
        <w:rPr>
          <w:b w:val="0"/>
          <w:i w:val="0"/>
          <w:highlight w:val="yellow"/>
        </w:rPr>
        <w:t>[Client name]</w:t>
      </w:r>
      <w:r>
        <w:rPr>
          <w:b w:val="0"/>
          <w:i w:val="0"/>
        </w:rPr>
        <w:t xml:space="preserve"> in the Matter on these terms.</w:t>
      </w:r>
    </w:p>
    <w:tbl>
      <w:tblPr>
        <w:tblStyle w:val="TableGrid"/>
        <w:tblW w:type="auto" w:w="0"/>
        <w:tblLook w:firstColumn="1" w:firstRow="1" w:lastColumn="0" w:lastRow="0" w:noHBand="0" w:noVBand="1" w:val="04A0"/>
      </w:tblPr>
      <w:tblGrid>
        <w:gridCol w:w="4320"/>
        <w:gridCol w:w="4320"/>
      </w:tblGrid>
      <w:tr>
        <w:tc>
          <w:tcPr>
            <w:tcW w:type="dxa" w:w="4320"/>
          </w:tcPr>
          <w:p>
            <w:r>
              <w:rPr>
                <w:b/>
                <w:i w:val="0"/>
              </w:rPr>
              <w:t>Signature</w:t>
            </w:r>
          </w:p>
        </w:tc>
        <w:tc>
          <w:tcPr>
            <w:tcW w:type="dxa" w:w="4320"/>
          </w:tcPr>
          <w:p>
            <w:r>
              <w:rPr>
                <w:b/>
                <w:i w:val="0"/>
              </w:rPr>
              <w:t>______________________</w:t>
            </w:r>
          </w:p>
        </w:tc>
      </w:tr>
      <w:tr>
        <w:tc>
          <w:tcPr>
            <w:tcW w:type="dxa" w:w="4320"/>
          </w:tcPr>
          <w:p>
            <w:r>
              <w:rPr>
                <w:b w:val="0"/>
                <w:i w:val="0"/>
              </w:rPr>
              <w:t>Name</w:t>
            </w:r>
          </w:p>
        </w:tc>
        <w:tc>
          <w:tcPr>
            <w:tcW w:type="dxa" w:w="4320"/>
          </w:tcPr>
          <w:p>
            <w:commentRangeStart w:id="41"/>
            <w:r>
              <w:rPr>
                <w:b w:val="0"/>
                <w:i w:val="0"/>
                <w:highlight w:val="yellow"/>
              </w:rPr>
              <w:t>[Client signatory name]</w:t>
            </w:r>
            <w:commentRangeEnd w:id="41"/>
            <w:r>
              <w:rPr>
                <w:rStyle w:val="CommentReference"/>
              </w:rPr>
              <w:commentReference w:id="41"/>
            </w:r>
          </w:p>
        </w:tc>
      </w:tr>
      <w:tr>
        <w:tc>
          <w:tcPr>
            <w:tcW w:type="dxa" w:w="4320"/>
          </w:tcPr>
          <w:p>
            <w:r>
              <w:rPr>
                <w:b w:val="0"/>
                <w:i w:val="0"/>
              </w:rPr>
              <w:t>Title / Capacity</w:t>
            </w:r>
          </w:p>
        </w:tc>
        <w:tc>
          <w:tcPr>
            <w:tcW w:type="dxa" w:w="4320"/>
          </w:tcPr>
          <w:p>
            <w:commentRangeStart w:id="42"/>
            <w:r>
              <w:rPr>
                <w:b w:val="0"/>
                <w:i w:val="0"/>
                <w:highlight w:val="yellow"/>
              </w:rPr>
              <w:t>[Client signatory title]</w:t>
            </w:r>
            <w:commentRangeEnd w:id="42"/>
            <w:r>
              <w:rPr>
                <w:rStyle w:val="CommentReference"/>
              </w:rPr>
              <w:commentReference w:id="42"/>
            </w:r>
          </w:p>
        </w:tc>
      </w:tr>
      <w:tr>
        <w:tc>
          <w:tcPr>
            <w:tcW w:type="dxa" w:w="4320"/>
          </w:tcPr>
          <w:p>
            <w:r>
              <w:rPr>
                <w:b w:val="0"/>
                <w:i w:val="0"/>
              </w:rPr>
              <w:t>For and on behalf of</w:t>
            </w:r>
          </w:p>
        </w:tc>
        <w:tc>
          <w:tcPr>
            <w:tcW w:type="dxa" w:w="4320"/>
          </w:tcPr>
          <w:p>
            <w:r>
              <w:rPr>
                <w:b w:val="0"/>
                <w:i w:val="0"/>
                <w:highlight w:val="yellow"/>
              </w:rPr>
              <w:t>[Client name]</w:t>
            </w:r>
          </w:p>
        </w:tc>
      </w:tr>
      <w:tr>
        <w:tc>
          <w:tcPr>
            <w:tcW w:type="dxa" w:w="4320"/>
          </w:tcPr>
          <w:p>
            <w:r>
              <w:rPr>
                <w:b w:val="0"/>
                <w:i w:val="0"/>
              </w:rPr>
              <w:t>Date</w:t>
            </w:r>
          </w:p>
        </w:tc>
        <w:tc>
          <w:tcPr>
            <w:tcW w:type="dxa" w:w="4320"/>
          </w:tcPr>
          <w:p>
            <w:commentRangeStart w:id="43"/>
            <w:r>
              <w:rPr>
                <w:b w:val="0"/>
                <w:i w:val="0"/>
                <w:highlight w:val="yellow"/>
              </w:rPr>
              <w:t>[Client acceptance date]</w:t>
            </w:r>
            <w:commentRangeEnd w:id="43"/>
            <w:r>
              <w:rPr>
                <w:rStyle w:val="CommentReference"/>
              </w:rPr>
              <w:commentReference w:id="43"/>
            </w:r>
          </w:p>
        </w:tc>
      </w:tr>
    </w:tbl>
    <w:p>
      <w:pPr>
        <w:pStyle w:val="Heading2"/>
      </w:pPr>
      <w:r>
        <w:rPr>
          <w:b w:val="0"/>
          <w:i w:val="0"/>
        </w:rPr>
        <w:t>ANNEX — IDENTITY VERIFICATION CHECKLIST</w:t>
      </w:r>
    </w:p>
    <w:p>
      <w:r>
        <w:rPr>
          <w:b/>
          <w:i w:val="0"/>
        </w:rPr>
        <w:t>Individual client:</w:t>
      </w:r>
      <w:r>
        <w:rPr>
          <w:b w:val="0"/>
          <w:i w:val="0"/>
        </w:rPr>
        <w:t xml:space="preserve"> valid international passport, national identity card or driver's licence; proof of residential address dated within three months; Bank Verification Number; Tax Identification Number.</w:t>
      </w:r>
    </w:p>
    <w:p>
      <w:r>
        <w:rPr>
          <w:b/>
          <w:i w:val="0"/>
        </w:rPr>
        <w:t>Corporate client:</w:t>
      </w:r>
      <w:r>
        <w:rPr>
          <w:b w:val="0"/>
          <w:i w:val="0"/>
        </w:rPr>
        <w:t xml:space="preserve"> certificate of incorporation; Memorandum and Articles of Association; current CAC status report or certified extract showing directors and shareholders; board resolution authorising the engagement and naming the persons who will instruct us; identification as above for each director and each beneficial owner holding </w:t>
      </w:r>
      <w:commentRangeStart w:id="44"/>
      <w:r>
        <w:rPr>
          <w:b w:val="0"/>
          <w:i w:val="0"/>
          <w:highlight w:val="yellow"/>
        </w:rPr>
        <w:t>[Beneficial ownership threshold (%)]</w:t>
      </w:r>
      <w:commentRangeEnd w:id="44"/>
      <w:r>
        <w:rPr>
          <w:rStyle w:val="CommentReference"/>
        </w:rPr>
        <w:commentReference w:id="44"/>
      </w:r>
      <w:r>
        <w:rPr>
          <w:b w:val="0"/>
          <w:i w:val="0"/>
        </w:rPr>
        <w:t xml:space="preserve"> per cent or more; Tax Identification Number; SCUML certificate where the client is itself a designated non-financial business.</w:t>
      </w:r>
    </w:p>
    <w:p>
      <w:r>
        <w:rPr>
          <w:b/>
          <w:i w:val="0"/>
        </w:rPr>
        <w:t>Source of funds:</w:t>
      </w:r>
      <w:r>
        <w:rPr>
          <w:b w:val="0"/>
          <w:i w:val="0"/>
        </w:rPr>
        <w:t xml:space="preserve"> where the Matter involves a transaction or the receipt of client money, evidence of the source of funds sufficient to satisfy the Money Laundering (Prevention and Prohibition) Act 2022.</w:t>
      </w:r>
    </w:p>
    <w:sectPr w:rsidR="00FC693F" w:rsidRPr="0006063C" w:rsidSect="00034616">
      <w:footerReference w:type="default" r:id="rId10"/>
      <w:pgSz w:w="12240" w:h="15840"/>
      <w:pgMar w:top="1440" w:right="1800" w:bottom="1440" w:left="180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LexCore" w:initials="LC" w:date="2026-09-27T22:01:49Z">
    <w:p>
      <w:pPr>
        <w:pStyle w:val="CommentText"/>
      </w:pPr>
      <w:r>
        <w:rPr>
          <w:rStyle w:val="CommentReference"/>
        </w:rPr>
        <w:annotationRef/>
      </w:r>
      <w:r>
        <w:t>Fill in: Firm name.</w:t>
      </w:r>
    </w:p>
  </w:comment>
  <w:comment w:id="1" w:author="LexCore" w:initials="LC" w:date="2026-09-27T22:01:49Z">
    <w:p>
      <w:pPr>
        <w:pStyle w:val="CommentText"/>
      </w:pPr>
      <w:r>
        <w:rPr>
          <w:rStyle w:val="CommentReference"/>
        </w:rPr>
        <w:annotationRef/>
      </w:r>
      <w:r>
        <w:t>Reviewed by Odebode Toluwalase, a Nigerian lawyer, on 9 September 2026. The VAT clause (5.2) was updated on 27 September 2026 to cite the Nigeria Tax Act 2025. This template is a starting point, not legal advice. Check it against the law in force and the facts of your matter before use. Fill in every highlighted field. To review your finished version against your own positions, use LexCore: https://lexcore.ng/demo?utm_source=template&amp;utm_medium=docx&amp;utm_campaign=law-firm-engagement-letter-nigeria</w:t>
      </w:r>
    </w:p>
  </w:comment>
  <w:comment w:id="2" w:author="LexCore" w:initials="LC" w:date="2026-09-27T22:01:49Z">
    <w:p>
      <w:pPr>
        <w:pStyle w:val="CommentText"/>
      </w:pPr>
      <w:r>
        <w:rPr>
          <w:rStyle w:val="CommentReference"/>
        </w:rPr>
        <w:annotationRef/>
      </w:r>
      <w:r>
        <w:t>Fill in: Firm address.</w:t>
      </w:r>
    </w:p>
  </w:comment>
  <w:comment w:id="3" w:author="LexCore" w:initials="LC" w:date="2026-09-27T22:01:49Z">
    <w:p>
      <w:pPr>
        <w:pStyle w:val="CommentText"/>
      </w:pPr>
      <w:r>
        <w:rPr>
          <w:rStyle w:val="CommentReference"/>
        </w:rPr>
        <w:annotationRef/>
      </w:r>
      <w:r>
        <w:t>Fill in: Firm telephone.</w:t>
      </w:r>
    </w:p>
  </w:comment>
  <w:comment w:id="4" w:author="LexCore" w:initials="LC" w:date="2026-09-27T22:01:49Z">
    <w:p>
      <w:pPr>
        <w:pStyle w:val="CommentText"/>
      </w:pPr>
      <w:r>
        <w:rPr>
          <w:rStyle w:val="CommentReference"/>
        </w:rPr>
        <w:annotationRef/>
      </w:r>
      <w:r>
        <w:t>Fill in: Firm email.</w:t>
      </w:r>
    </w:p>
  </w:comment>
  <w:comment w:id="5" w:author="LexCore" w:initials="LC" w:date="2026-09-27T22:01:49Z">
    <w:p>
      <w:pPr>
        <w:pStyle w:val="CommentText"/>
      </w:pPr>
      <w:r>
        <w:rPr>
          <w:rStyle w:val="CommentReference"/>
        </w:rPr>
        <w:annotationRef/>
      </w:r>
      <w:r>
        <w:t>Fill in: Firm reference.</w:t>
      </w:r>
    </w:p>
  </w:comment>
  <w:comment w:id="6" w:author="LexCore" w:initials="LC" w:date="2026-09-27T22:01:49Z">
    <w:p>
      <w:pPr>
        <w:pStyle w:val="CommentText"/>
      </w:pPr>
      <w:r>
        <w:rPr>
          <w:rStyle w:val="CommentReference"/>
        </w:rPr>
        <w:annotationRef/>
      </w:r>
      <w:r>
        <w:t>Fill in: Letter date.</w:t>
      </w:r>
    </w:p>
  </w:comment>
  <w:comment w:id="7" w:author="LexCore" w:initials="LC" w:date="2026-09-27T22:01:49Z">
    <w:p>
      <w:pPr>
        <w:pStyle w:val="CommentText"/>
      </w:pPr>
      <w:r>
        <w:rPr>
          <w:rStyle w:val="CommentReference"/>
        </w:rPr>
        <w:annotationRef/>
      </w:r>
      <w:r>
        <w:t>Fill in: Client name.</w:t>
      </w:r>
    </w:p>
  </w:comment>
  <w:comment w:id="8" w:author="LexCore" w:initials="LC" w:date="2026-09-27T22:01:49Z">
    <w:p>
      <w:pPr>
        <w:pStyle w:val="CommentText"/>
      </w:pPr>
      <w:r>
        <w:rPr>
          <w:rStyle w:val="CommentReference"/>
        </w:rPr>
        <w:annotationRef/>
      </w:r>
      <w:r>
        <w:t>Fill in: Client address.</w:t>
      </w:r>
    </w:p>
  </w:comment>
  <w:comment w:id="9" w:author="LexCore" w:initials="LC" w:date="2026-09-27T22:01:49Z">
    <w:p>
      <w:pPr>
        <w:pStyle w:val="CommentText"/>
      </w:pPr>
      <w:r>
        <w:rPr>
          <w:rStyle w:val="CommentReference"/>
        </w:rPr>
        <w:annotationRef/>
      </w:r>
      <w:r>
        <w:t>Fill in: Client contact name.</w:t>
      </w:r>
    </w:p>
  </w:comment>
  <w:comment w:id="10" w:author="LexCore" w:initials="LC" w:date="2026-09-27T22:01:49Z">
    <w:p>
      <w:pPr>
        <w:pStyle w:val="CommentText"/>
      </w:pPr>
      <w:r>
        <w:rPr>
          <w:rStyle w:val="CommentReference"/>
        </w:rPr>
        <w:annotationRef/>
      </w:r>
      <w:r>
        <w:t>Fill in: Client contact title.</w:t>
      </w:r>
    </w:p>
  </w:comment>
  <w:comment w:id="11" w:author="LexCore" w:initials="LC" w:date="2026-09-27T22:01:49Z">
    <w:p>
      <w:pPr>
        <w:pStyle w:val="CommentText"/>
      </w:pPr>
      <w:r>
        <w:rPr>
          <w:rStyle w:val="CommentReference"/>
        </w:rPr>
        <w:annotationRef/>
      </w:r>
      <w:r>
        <w:t>Fill in: Client salutation.</w:t>
      </w:r>
    </w:p>
  </w:comment>
  <w:comment w:id="12" w:author="LexCore" w:initials="LC" w:date="2026-09-27T22:01:49Z">
    <w:p>
      <w:pPr>
        <w:pStyle w:val="CommentText"/>
      </w:pPr>
      <w:r>
        <w:rPr>
          <w:rStyle w:val="CommentReference"/>
        </w:rPr>
        <w:annotationRef/>
      </w:r>
      <w:r>
        <w:t>Fill in: Matter description.</w:t>
      </w:r>
    </w:p>
  </w:comment>
  <w:comment w:id="13" w:author="LexCore" w:initials="LC" w:date="2026-09-27T22:01:49Z">
    <w:p>
      <w:pPr>
        <w:pStyle w:val="CommentText"/>
      </w:pPr>
      <w:r>
        <w:rPr>
          <w:rStyle w:val="CommentReference"/>
        </w:rPr>
        <w:annotationRef/>
      </w:r>
      <w:r>
        <w:t>Fill in: Scope of work.</w:t>
      </w:r>
    </w:p>
  </w:comment>
  <w:comment w:id="14" w:author="LexCore" w:initials="LC" w:date="2026-09-27T22:01:49Z">
    <w:p>
      <w:pPr>
        <w:pStyle w:val="CommentText"/>
      </w:pPr>
      <w:r>
        <w:rPr>
          <w:rStyle w:val="CommentReference"/>
        </w:rPr>
        <w:annotationRef/>
      </w:r>
      <w:r>
        <w:t>Fill in: Specific exclusions.</w:t>
      </w:r>
    </w:p>
  </w:comment>
  <w:comment w:id="15" w:author="LexCore" w:initials="LC" w:date="2026-09-27T22:01:49Z">
    <w:p>
      <w:pPr>
        <w:pStyle w:val="CommentText"/>
      </w:pPr>
      <w:r>
        <w:rPr>
          <w:rStyle w:val="CommentReference"/>
        </w:rPr>
        <w:annotationRef/>
      </w:r>
      <w:r>
        <w:t>Fill in: Supervising partner name.</w:t>
      </w:r>
    </w:p>
  </w:comment>
  <w:comment w:id="16" w:author="LexCore" w:initials="LC" w:date="2026-09-27T22:01:49Z">
    <w:p>
      <w:pPr>
        <w:pStyle w:val="CommentText"/>
      </w:pPr>
      <w:r>
        <w:rPr>
          <w:rStyle w:val="CommentReference"/>
        </w:rPr>
        <w:annotationRef/>
      </w:r>
      <w:r>
        <w:t>Fill in: Day-to-day lawyer name.</w:t>
      </w:r>
    </w:p>
  </w:comment>
  <w:comment w:id="17" w:author="LexCore" w:initials="LC" w:date="2026-09-27T22:01:49Z">
    <w:p>
      <w:pPr>
        <w:pStyle w:val="CommentText"/>
      </w:pPr>
      <w:r>
        <w:rPr>
          <w:rStyle w:val="CommentReference"/>
        </w:rPr>
        <w:annotationRef/>
      </w:r>
      <w:r>
        <w:t>Fill in: Conflict disclosure and consent (or "None").</w:t>
      </w:r>
    </w:p>
  </w:comment>
  <w:comment w:id="18" w:author="LexCore" w:initials="LC" w:date="2026-09-27T22:01:49Z">
    <w:p>
      <w:pPr>
        <w:pStyle w:val="CommentText"/>
      </w:pPr>
      <w:r>
        <w:rPr>
          <w:rStyle w:val="CommentReference"/>
        </w:rPr>
        <w:annotationRef/>
      </w:r>
      <w:r>
        <w:t>Fill in: Fee basis (hourly / fixed / capped / scale / contingency).</w:t>
      </w:r>
    </w:p>
  </w:comment>
  <w:comment w:id="19" w:author="LexCore" w:initials="LC" w:date="2026-09-27T22:01:50Z">
    <w:p>
      <w:pPr>
        <w:pStyle w:val="CommentText"/>
      </w:pPr>
      <w:r>
        <w:rPr>
          <w:rStyle w:val="CommentReference"/>
        </w:rPr>
        <w:annotationRef/>
      </w:r>
      <w:r>
        <w:t>Fill in: Partner hourly rate (₦).</w:t>
      </w:r>
    </w:p>
  </w:comment>
  <w:comment w:id="20" w:author="LexCore" w:initials="LC" w:date="2026-09-27T22:01:50Z">
    <w:p>
      <w:pPr>
        <w:pStyle w:val="CommentText"/>
      </w:pPr>
      <w:r>
        <w:rPr>
          <w:rStyle w:val="CommentReference"/>
        </w:rPr>
        <w:annotationRef/>
      </w:r>
      <w:r>
        <w:t>Fill in: Senior Associate hourly rate (₦).</w:t>
      </w:r>
    </w:p>
  </w:comment>
  <w:comment w:id="21" w:author="LexCore" w:initials="LC" w:date="2026-09-27T22:01:50Z">
    <w:p>
      <w:pPr>
        <w:pStyle w:val="CommentText"/>
      </w:pPr>
      <w:r>
        <w:rPr>
          <w:rStyle w:val="CommentReference"/>
        </w:rPr>
        <w:annotationRef/>
      </w:r>
      <w:r>
        <w:t>Fill in: Associate hourly rate (₦).</w:t>
      </w:r>
    </w:p>
  </w:comment>
  <w:comment w:id="22" w:author="LexCore" w:initials="LC" w:date="2026-09-27T22:01:50Z">
    <w:p>
      <w:pPr>
        <w:pStyle w:val="CommentText"/>
      </w:pPr>
      <w:r>
        <w:rPr>
          <w:rStyle w:val="CommentReference"/>
        </w:rPr>
        <w:annotationRef/>
      </w:r>
      <w:r>
        <w:t>Fill in: Paralegal hourly rate (₦).</w:t>
      </w:r>
    </w:p>
  </w:comment>
  <w:comment w:id="23" w:author="LexCore" w:initials="LC" w:date="2026-09-27T22:01:50Z">
    <w:p>
      <w:pPr>
        <w:pStyle w:val="CommentText"/>
      </w:pPr>
      <w:r>
        <w:rPr>
          <w:rStyle w:val="CommentReference"/>
        </w:rPr>
        <w:annotationRef/>
      </w:r>
      <w:r>
        <w:t>Fill in: Rate review date.</w:t>
      </w:r>
    </w:p>
  </w:comment>
  <w:comment w:id="24" w:author="LexCore" w:initials="LC" w:date="2026-09-27T22:01:50Z">
    <w:p>
      <w:pPr>
        <w:pStyle w:val="CommentText"/>
      </w:pPr>
      <w:r>
        <w:rPr>
          <w:rStyle w:val="CommentReference"/>
        </w:rPr>
        <w:annotationRef/>
      </w:r>
      <w:r>
        <w:t>Fill in: Fee estimate (₦).</w:t>
      </w:r>
    </w:p>
  </w:comment>
  <w:comment w:id="25" w:author="LexCore" w:initials="LC" w:date="2026-09-27T22:01:50Z">
    <w:p>
      <w:pPr>
        <w:pStyle w:val="CommentText"/>
      </w:pPr>
      <w:r>
        <w:rPr>
          <w:rStyle w:val="CommentReference"/>
        </w:rPr>
        <w:annotationRef/>
      </w:r>
      <w:r>
        <w:t>Fill in: Success fee arrangement (or "None").</w:t>
      </w:r>
    </w:p>
  </w:comment>
  <w:comment w:id="26" w:author="LexCore" w:initials="LC" w:date="2026-09-27T22:01:50Z">
    <w:p>
      <w:pPr>
        <w:pStyle w:val="CommentText"/>
      </w:pPr>
      <w:r>
        <w:rPr>
          <w:rStyle w:val="CommentReference"/>
        </w:rPr>
        <w:annotationRef/>
      </w:r>
      <w:r>
        <w:t>Fill in: Billing frequency.</w:t>
      </w:r>
    </w:p>
  </w:comment>
  <w:comment w:id="27" w:author="LexCore" w:initials="LC" w:date="2026-09-27T22:01:50Z">
    <w:p>
      <w:pPr>
        <w:pStyle w:val="CommentText"/>
      </w:pPr>
      <w:r>
        <w:rPr>
          <w:rStyle w:val="CommentReference"/>
        </w:rPr>
        <w:annotationRef/>
      </w:r>
      <w:r>
        <w:t>Fill in: Payment terms (days).</w:t>
      </w:r>
    </w:p>
  </w:comment>
  <w:comment w:id="28" w:author="LexCore" w:initials="LC" w:date="2026-09-27T22:01:50Z">
    <w:p>
      <w:pPr>
        <w:pStyle w:val="CommentText"/>
      </w:pPr>
      <w:r>
        <w:rPr>
          <w:rStyle w:val="CommentReference"/>
        </w:rPr>
        <w:annotationRef/>
      </w:r>
      <w:r>
        <w:t>Fill in: Firm office bank account details.</w:t>
      </w:r>
    </w:p>
  </w:comment>
  <w:comment w:id="29" w:author="LexCore" w:initials="LC" w:date="2026-09-27T22:01:50Z">
    <w:p>
      <w:pPr>
        <w:pStyle w:val="CommentText"/>
      </w:pPr>
      <w:r>
        <w:rPr>
          <w:rStyle w:val="CommentReference"/>
        </w:rPr>
        <w:annotationRef/>
      </w:r>
      <w:r>
        <w:t>Fill in: Payment on account (₦).</w:t>
      </w:r>
    </w:p>
  </w:comment>
  <w:comment w:id="30" w:author="LexCore" w:initials="LC" w:date="2026-09-27T22:01:50Z">
    <w:p>
      <w:pPr>
        <w:pStyle w:val="CommentText"/>
      </w:pPr>
      <w:r>
        <w:rPr>
          <w:rStyle w:val="CommentReference"/>
        </w:rPr>
        <w:annotationRef/>
      </w:r>
      <w:r>
        <w:t>Fill in: Late payment interest rate (% per annum).</w:t>
      </w:r>
    </w:p>
  </w:comment>
  <w:comment w:id="31" w:author="LexCore" w:initials="LC" w:date="2026-09-27T22:01:50Z">
    <w:p>
      <w:pPr>
        <w:pStyle w:val="CommentText"/>
      </w:pPr>
      <w:r>
        <w:rPr>
          <w:rStyle w:val="CommentReference"/>
        </w:rPr>
        <w:annotationRef/>
      </w:r>
      <w:r>
        <w:t>Fill in: Client money interest policy.</w:t>
      </w:r>
    </w:p>
  </w:comment>
  <w:comment w:id="32" w:author="LexCore" w:initials="LC" w:date="2026-09-27T22:01:50Z">
    <w:p>
      <w:pPr>
        <w:pStyle w:val="CommentText"/>
      </w:pPr>
      <w:r>
        <w:rPr>
          <w:rStyle w:val="CommentReference"/>
        </w:rPr>
        <w:annotationRef/>
      </w:r>
      <w:r>
        <w:t>Fill in: Firm DPO contact.</w:t>
      </w:r>
    </w:p>
  </w:comment>
  <w:comment w:id="33" w:author="LexCore" w:initials="LC" w:date="2026-09-27T22:01:50Z">
    <w:p>
      <w:pPr>
        <w:pStyle w:val="CommentText"/>
      </w:pPr>
      <w:r>
        <w:rPr>
          <w:rStyle w:val="CommentReference"/>
        </w:rPr>
        <w:annotationRef/>
      </w:r>
      <w:r>
        <w:t>Fill in: Liability cap (₦).</w:t>
      </w:r>
    </w:p>
  </w:comment>
  <w:comment w:id="34" w:author="LexCore" w:initials="LC" w:date="2026-09-27T22:01:50Z">
    <w:p>
      <w:pPr>
        <w:pStyle w:val="CommentText"/>
      </w:pPr>
      <w:r>
        <w:rPr>
          <w:rStyle w:val="CommentReference"/>
        </w:rPr>
        <w:annotationRef/>
      </w:r>
      <w:r>
        <w:t>Fill in: Professional indemnity insurer.</w:t>
      </w:r>
    </w:p>
  </w:comment>
  <w:comment w:id="35" w:author="LexCore" w:initials="LC" w:date="2026-09-27T22:01:50Z">
    <w:p>
      <w:pPr>
        <w:pStyle w:val="CommentText"/>
      </w:pPr>
      <w:r>
        <w:rPr>
          <w:rStyle w:val="CommentReference"/>
        </w:rPr>
        <w:annotationRef/>
      </w:r>
      <w:r>
        <w:t>Fill in: Professional indemnity cover (₦).</w:t>
      </w:r>
    </w:p>
  </w:comment>
  <w:comment w:id="36" w:author="LexCore" w:initials="LC" w:date="2026-09-27T22:01:50Z">
    <w:p>
      <w:pPr>
        <w:pStyle w:val="CommentText"/>
      </w:pPr>
      <w:r>
        <w:rPr>
          <w:rStyle w:val="CommentReference"/>
        </w:rPr>
        <w:annotationRef/>
      </w:r>
      <w:r>
        <w:t>Fill in: File retention period (years).</w:t>
      </w:r>
    </w:p>
  </w:comment>
  <w:comment w:id="37" w:author="LexCore" w:initials="LC" w:date="2026-09-27T22:01:50Z">
    <w:p>
      <w:pPr>
        <w:pStyle w:val="CommentText"/>
      </w:pPr>
      <w:r>
        <w:rPr>
          <w:rStyle w:val="CommentReference"/>
        </w:rPr>
        <w:annotationRef/>
      </w:r>
      <w:r>
        <w:t>Fill in: Complaints partner name.</w:t>
      </w:r>
    </w:p>
  </w:comment>
  <w:comment w:id="38" w:author="LexCore" w:initials="LC" w:date="2026-09-27T22:01:50Z">
    <w:p>
      <w:pPr>
        <w:pStyle w:val="CommentText"/>
      </w:pPr>
      <w:r>
        <w:rPr>
          <w:rStyle w:val="CommentReference"/>
        </w:rPr>
        <w:annotationRef/>
      </w:r>
      <w:r>
        <w:t>Fill in: Governing State.</w:t>
      </w:r>
    </w:p>
  </w:comment>
  <w:comment w:id="39" w:author="LexCore" w:initials="LC" w:date="2026-09-27T22:01:50Z">
    <w:p>
      <w:pPr>
        <w:pStyle w:val="CommentText"/>
      </w:pPr>
      <w:r>
        <w:rPr>
          <w:rStyle w:val="CommentReference"/>
        </w:rPr>
        <w:annotationRef/>
      </w:r>
      <w:r>
        <w:t>Fill in: Arbitral institution.</w:t>
      </w:r>
    </w:p>
  </w:comment>
  <w:comment w:id="40" w:author="LexCore" w:initials="LC" w:date="2026-09-27T22:01:50Z">
    <w:p>
      <w:pPr>
        <w:pStyle w:val="CommentText"/>
      </w:pPr>
      <w:r>
        <w:rPr>
          <w:rStyle w:val="CommentReference"/>
        </w:rPr>
        <w:annotationRef/>
      </w:r>
      <w:r>
        <w:t>Fill in: Seat of arbitration.</w:t>
      </w:r>
    </w:p>
  </w:comment>
  <w:comment w:id="41" w:author="LexCore" w:initials="LC" w:date="2026-09-27T22:01:50Z">
    <w:p>
      <w:pPr>
        <w:pStyle w:val="CommentText"/>
      </w:pPr>
      <w:r>
        <w:rPr>
          <w:rStyle w:val="CommentReference"/>
        </w:rPr>
        <w:annotationRef/>
      </w:r>
      <w:r>
        <w:t>Fill in: Client signatory name.</w:t>
      </w:r>
    </w:p>
  </w:comment>
  <w:comment w:id="42" w:author="LexCore" w:initials="LC" w:date="2026-09-27T22:01:50Z">
    <w:p>
      <w:pPr>
        <w:pStyle w:val="CommentText"/>
      </w:pPr>
      <w:r>
        <w:rPr>
          <w:rStyle w:val="CommentReference"/>
        </w:rPr>
        <w:annotationRef/>
      </w:r>
      <w:r>
        <w:t>Fill in: Client signatory title.</w:t>
      </w:r>
    </w:p>
  </w:comment>
  <w:comment w:id="43" w:author="LexCore" w:initials="LC" w:date="2026-09-27T22:01:50Z">
    <w:p>
      <w:pPr>
        <w:pStyle w:val="CommentText"/>
      </w:pPr>
      <w:r>
        <w:rPr>
          <w:rStyle w:val="CommentReference"/>
        </w:rPr>
        <w:annotationRef/>
      </w:r>
      <w:r>
        <w:t>Fill in: Client acceptance date.</w:t>
      </w:r>
    </w:p>
  </w:comment>
  <w:comment w:id="44" w:author="LexCore" w:initials="LC" w:date="2026-09-27T22:01:50Z">
    <w:p>
      <w:pPr>
        <w:pStyle w:val="CommentText"/>
      </w:pPr>
      <w:r>
        <w:rPr>
          <w:rStyle w:val="CommentReference"/>
        </w:rPr>
        <w:annotationRef/>
      </w:r>
      <w:r>
        <w:t>Fill in: Beneficial ownership threshold (%).</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Law Firm Engagement Letter (Nigeria). Free template from lexcore.ng. Reviewed by Odebode Toluwalase, a Nigerian lawyer, on 9 September 2026. The VAT clause (5.2) was updated on 27 September 2026 to cite the Nigeria Tax Act 2025.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Firm Engagement Letter (Nigeria)</dc:title>
  <dc:subject/>
  <dc:creator>LexCore</dc:creator>
  <cp:keywords/>
  <dc:description>generated by python-docx</dc:description>
  <cp:lastModifiedBy/>
  <cp:revision>1</cp:revision>
  <dcterms:created xsi:type="dcterms:W3CDTF">2013-12-23T23:15:00Z</dcterms:created>
  <dcterms:modified xsi:type="dcterms:W3CDTF">2013-12-23T23:15:00Z</dcterms:modified>
  <cp:category/>
</cp:coreProperties>
</file>